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10lev1sec3"/>
    <w:p>
      <w:pPr>
        <w:pStyle w:val="Heading3"/>
      </w:pPr>
      <w:r>
        <w:t xml:space="preserve">Crear un lienzo para dibujar</w:t>
      </w:r>
    </w:p>
    <w:p>
      <w:pPr>
        <w:pStyle w:val="FirstParagraph"/>
      </w:pPr>
      <w:r>
        <w:t xml:space="preserve">Los botones son buenas herramientas, pero no son especialmente útiles cuando queremos dibujar cosas en la pantalla. A la hora de dibujar, necesitamos un componente diferente: un objeto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, que es un objeto de la clase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(proporcionada por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).</w:t>
      </w:r>
    </w:p>
    <w:p>
      <w:pPr>
        <w:pStyle w:val="BodyText"/>
      </w:pPr>
      <w:bookmarkStart w:id="20" w:name="page_140"/>
      <w:r>
        <w:t xml:space="preserve"> </w:t>
      </w:r>
      <w:bookmarkEnd w:id="20"/>
      <w:r>
        <w:t xml:space="preserve"> </w:t>
      </w:r>
      <w:r>
        <w:t xml:space="preserve">Al crear un lienzo, pasamos la anchura y la altura (en píxeles) del lienzo a Python. Por lo demás, el código es similar al del botón. Por ejemplo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width=500, height=500)</w:t>
      </w:r>
      <w:r>
        <w:br/>
      </w:r>
      <w:r>
        <w:rPr>
          <w:rStyle w:val="VerbatimChar"/>
        </w:rPr>
        <w:t xml:space="preserve">&gt;&gt;&gt; canvas.pack()</w:t>
      </w:r>
    </w:p>
    <w:p>
      <w:pPr>
        <w:pStyle w:val="FirstParagraph"/>
      </w:pPr>
      <w:r>
        <w:t xml:space="preserve">Como en el ejemplo del botón, aparecerá una ventana cuando introduzcas</w:t>
      </w:r>
      <w:r>
        <w:t xml:space="preserve"> </w:t>
      </w:r>
      <w:r>
        <w:t xml:space="preserve"> </w:t>
      </w:r>
      <w:r>
        <w:t xml:space="preserve">tk = Tk()</w:t>
      </w:r>
      <w:r>
        <w:t xml:space="preserve"> </w:t>
      </w:r>
      <w:r>
        <w:t xml:space="preserve">. En la última línea, empaquetamos el lienzo con</w:t>
      </w:r>
      <w:r>
        <w:t xml:space="preserve"> </w:t>
      </w:r>
      <w:r>
        <w:t xml:space="preserve"> </w:t>
      </w:r>
      <w:r>
        <w:t xml:space="preserve">canvas.pack()</w:t>
      </w:r>
      <w:r>
        <w:t xml:space="preserve"> </w:t>
      </w:r>
      <w:r>
        <w:t xml:space="preserve">, que aplica los cambios al tamaño del lienzo (una anchura de 500 píxeles y una altura de 500 píxeles, como se especifica en la tercera línea de código).</w:t>
      </w:r>
    </w:p>
    <w:p>
      <w:pPr>
        <w:pStyle w:val="BodyText"/>
      </w:pPr>
      <w:r>
        <w:t xml:space="preserve">También como en el ejemplo del botón, la función</w:t>
      </w:r>
      <w:r>
        <w:t xml:space="preserve"> </w:t>
      </w:r>
      <w:r>
        <w:t xml:space="preserve"> </w:t>
      </w:r>
      <w:r>
        <w:t xml:space="preserve">pack</w:t>
      </w:r>
      <w:r>
        <w:t xml:space="preserve"> </w:t>
      </w:r>
      <w:r>
        <w:t xml:space="preserve">indica al lienzo que se muestre en la posición correcta dentro de la ventana. Si no se llama a</w:t>
      </w:r>
      <w:r>
        <w:t xml:space="preserve"> </w:t>
      </w:r>
      <w:r>
        <w:t xml:space="preserve"> </w:t>
      </w:r>
      <w:r>
        <w:t xml:space="preserve">pack</w:t>
      </w:r>
      <w:r>
        <w:t xml:space="preserve"> </w:t>
      </w:r>
      <w:r>
        <w:t xml:space="preserve">, nada se mostrará correctamente.</w:t>
      </w:r>
    </w:p>
    <w:p>
      <w:pPr>
        <w:pStyle w:val="BodyText"/>
      </w:pPr>
      <w:r>
        <w:drawing>
          <wp:inline>
            <wp:extent cx="5334000" cy="5885179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140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4 de 17: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10.html" TargetMode="External" /><Relationship Type="http://schemas.openxmlformats.org/officeDocument/2006/relationships/hyperlink" Id="rId24" Target="ch10_3.html" TargetMode="External" /><Relationship Type="http://schemas.openxmlformats.org/officeDocument/2006/relationships/hyperlink" Id="rId27" Target="ch10_4.docx" TargetMode="External" /><Relationship Type="http://schemas.openxmlformats.org/officeDocument/2006/relationships/hyperlink" Id="rId26" Target="ch10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0.html" TargetMode="External" /><Relationship Type="http://schemas.openxmlformats.org/officeDocument/2006/relationships/hyperlink" Id="rId24" Target="ch10_3.html" TargetMode="External" /><Relationship Type="http://schemas.openxmlformats.org/officeDocument/2006/relationships/hyperlink" Id="rId27" Target="ch10_4.docx" TargetMode="External" /><Relationship Type="http://schemas.openxmlformats.org/officeDocument/2006/relationships/hyperlink" Id="rId26" Target="ch10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2024-04-24T23:23:54Z</dcterms:created>
  <dcterms:modified xsi:type="dcterms:W3CDTF">2024-04-24T23:23:54Z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