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作业一：简答题</w:t>
      </w:r>
    </w:p>
    <w:p>
      <w:pPr>
        <w:spacing w:after="287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 某企业在生产经营淡季需占用300万元的流动资产和500万元的固定资产；在生产经营的高峰期，会额外增加300万元的季节性存货需求。简述该企业运营资本的筹资政策。</w:t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参考答案：</w:t>
      </w:r>
      <w:r>
        <w:rPr>
          <w:rFonts w:ascii="PingFang SC" w:hAnsi="PingFang SC" w:cs="PingFang SC"/>
          <w:sz w:val="32"/>
          <w:sz-cs w:val="32"/>
          <w:spacing w:val="0"/>
        </w:rPr>
        <w:t xml:space="preserve">企业的资金需求通常可以分为永久性资金需求与临时性资金需求。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其中，企业在淡季仍需占用300万元流动资产和500万元固定资产，合计800万元，这部分资金需求具有长期性和稳定性，应归类为永久性资金需求。而在经营高峰期额外增加的300万元季节性存货需求，则属于随着经营波动而变化的临时性资金需求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基于这一特点，该企业较适合采取配合型（或匹配型）营运资本筹资政策。具体而言：一是以长期资金满足永久性资金需求，即用长期借款、股东权益等方式支持500万元固定资产和300万元长期流动资产；二是以短期资金满足季节性需求，即在高峰期通过短期借款、银行流动资金贷款、商业信用等方式解决新增300万元存货资金占用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这种筹资政策的主要优点在于：第一，实现期限匹配，降低财务风险。长期资产和永久性流动资产由长期资金支持，有利于保证资金来源稳定，降低短期偿债压力和流动性风险。第二，提高资金使用效率，降低融资成本。季节性需求采用短期融资，可以避免长期资金在淡季闲置，从而降低资金占用成本。第三，兼顾安全性与灵活性。匹配型政策兼顾了稳健性和经济性，是一种风险与收益较为平衡的营运资本管理方式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当然，如果企业风险偏好较低，也可以采用稳健型政策，用部分长期资金覆盖临时性需求；但这样会提高资金成本。相反，若企业过度依赖短期融资来支持长期资产，则属于激进型政策，虽然资金成本可能较低，但偿债与再融资风险明显上升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综上所述，该企业最合理的营运资本筹资政策是：长期资金支持固定资产和永久性流动资产，短期资金支持季节性存货需求，即采取匹配型筹资政策。</w:t>
      </w:r>
    </w:p>
    <w:p>
      <w:pPr>
        <w:spacing w:after="287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2. 简述提高企业流动资产和变现能力主要涉及哪些方面。</w:t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参考答案：</w:t>
      </w:r>
      <w:r>
        <w:rPr>
          <w:rFonts w:ascii="PingFang SC" w:hAnsi="PingFang SC" w:cs="PingFang SC"/>
          <w:sz w:val="32"/>
          <w:sz-cs w:val="32"/>
          <w:spacing w:val="0"/>
        </w:rPr>
        <w:t xml:space="preserve">企业流动资产的管理水平和变现能力，直接影响其短期偿债能力、经营安全性以及资金周转效率。提高企业流动资产和变现能力，主要涉及以下几个方面。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一，加强现金管理。现金是流动性最强的资产。企业应通过编制现金预算、合理安排收支计划、提高资金使用效率等方式，保持适度的现金持有水平。如果现金过多，会降低资金收益率；如果现金不足，则会影响日常经营和偿债能力。因此，科学的现金管理是提升变现能力的基础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二，加强应收账款管理。应收账款虽然属于流动资产，但能否及时收回决定了其真实变现能力。企业应建立完善的客户信用评估机制，合理制定信用政策、账期政策和催收制度，控制坏账风险，缩短回款周期。应收账款周转率越高，说明企业资金回笼越快，流动性越强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三，提高存货管理效率。存货在流动资产中往往占比较大，但也是变现速度较慢、风险较高的项目。企业应优化采购计划、库存结构和销售预测，减少积压和滞销，提高存货周转率，降低跌价和损耗风险。只有存货周转顺畅，企业的流动资产才能真正转化为现金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四，优化流动资产与流动负债的匹配关系。流动资产的变现能力不仅取决于资产本身，还取决于其与流动负债的匹配情况。企业应合理控制短期债务规模和偿债期限，保持适当的流动比率和速动比率，避免短债长用导致资金链紧张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五，提升企业整体经营效率和现金流质量。流动资产的最终变现能力来源于企业持续经营能力。若企业销售不畅、利润质量差、经营活动现金流薄弱，即使账面流动资产较多，也可能难以快速变现。因此，企业应通过提升运营效率、增强主营业务盈利能力和改善经营性现金流，来从根本上提高变现能力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总体来看，提高企业流动资产和变现能力，主要涉及现金管理、应收账款管理、存货管理、短期偿债结构优化以及经营效率提升等方面。本质上，这是对企业营运资本管理能力的综合考验。</w:t>
      </w:r>
    </w:p>
    <w:p>
      <w:pPr>
        <w:spacing w:after="287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 在财务策略中需要关注会计利润、管理利润、还是经济利润，为什么？</w:t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参考答案：</w:t>
      </w:r>
      <w:r>
        <w:rPr>
          <w:rFonts w:ascii="PingFang SC" w:hAnsi="PingFang SC" w:cs="PingFang SC"/>
          <w:sz w:val="32"/>
          <w:sz-cs w:val="32"/>
          <w:spacing w:val="0"/>
        </w:rPr>
        <w:t xml:space="preserve">在企业财务策略中，会计利润、管理利润和经济利润都需要关注，但从价值创造角度看，最值得重点关注的是经济利润。这是因为三者反映的层次不同，各自作用也不同。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一，会计利润是财务分析的基础。会计利润是依据会计准则和财务报告制度计算出来的利润指标，主要用于外部披露、税务申报、绩效考核和投资者分析。它可以反映企业在一定时期内的经营成果，是企业财务管理的重要基础。但会计利润存在一定局限：容易受到会计政策和会计估计的影响；不能充分反映资本成本和机会成本；账面利润不一定等同于真实价值创造。因此，如果企业只关注会计利润，可能会导致“账面盈利但价值未提升”的问题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二，管理利润更适合内部经营分析。管理利润是在会计利润基础上，根据企业内部管理需要进行调整后的利润指标。例如，企业可以剔除一次性收益、非经常性损益或某些特殊会计处理影响，从而更真实地反映业务本身的经营效果。管理利润更适合用于评价业务单元表现、判断部门经营效率以及辅助内部预算和绩效管理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三，经济利润最能反映价值创造能力。经济利润是在企业收益扣除经营成本之外，进一步扣除资本成本和机会成本后的剩余收益。它强调的是：企业不仅要赚钱，还要赚到足以覆盖资本占用成本的钱。如果一个企业虽然有会计利润，但其收益不足以覆盖股东资本和债务资本的成本，那么从经济学意义上看，它并没有真正创造价值。只有当企业的收益超过全部资本成本时，才说明企业真正实现了价值增值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四，财务策略应以经济利润为导向。企业制定财务策略，最终目的是实现企业价值最大化，而不是单纯追求利润数字增长。因此，对外披露和报表层面，需要关注会计利润；内部管理和经营分析层面，需要关注管理利润；战略决策和价值创造层面，则应以经济利润为核心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综上所述，在财务策略中三种利润都重要，但应以经济利润为核心，会计利润为基础，管理利润为辅助。因为只有经济利润，才能真正反映企业是否创造了超额价值，是否提升了企业长期竞争力和资本使用效率。</w:t>
      </w:r>
    </w:p>
    <w:p>
      <w:pPr>
        <w:spacing w:after="287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 基于美林周期与价值投资等理论，提出大中型企业资产管理的建议。</w:t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参考答案：</w:t>
      </w:r>
      <w:r>
        <w:rPr>
          <w:rFonts w:ascii="PingFang SC" w:hAnsi="PingFang SC" w:cs="PingFang SC"/>
          <w:sz w:val="32"/>
          <w:sz-cs w:val="32"/>
          <w:spacing w:val="0"/>
        </w:rPr>
        <w:t xml:space="preserve">大中型企业在资产管理中，不仅要考虑收益性，还要兼顾流动性、安全性和战略协同。基于美林时钟周期理论与价值投资理论，企业在资产管理上应坚持“顺应周期、重视价值、控制风险、服务主业”的基本原则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一，根据经济周期进行动态配置。美林时钟理论认为，不同经济周期阶段适合不同的资产配置方式。大中型企业应密切关注宏观经济增长、通胀、利率和行业景气变化，根据周期调整资产结构。例如：在经济复苏阶段，可适度提高权益类资产、成长型项目和扩张性投资比重；在经济过热阶段，应关注成本上涨、通胀压力和杠杆风险，适度配置抗通胀类资产；在滞胀阶段，应更加重视现金流、安全性和风险控制；在衰退阶段，应优先保证流动性，降低高风险投资暴露。这说明，企业资产管理不能静态配置，而应具有前瞻性和周期敏感度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二，坚持价值投资理念。价值投资强调以内在价值为基础，以安全边际为核心，避免盲目追逐市场热点。企业在进行资产配置或投资决策时，应优先选择现金流稳定的项目、估值合理的资产、具有长期竞争优势的企业或行业、以及与主业具有协同效应的战略性投资。对于高估值、高波动、缺乏基本面支撑的资产，应保持谨慎。企业资产管理的重点不在于短期投机，而在于长期稳健增值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三，强化流动性和风险管理。大中型企业资产管理的首要前提是保障主营业务的正常运转。因此，在追求收益时必须兼顾流动性与安全性。企业应建立分层管理机制，对资金进行短期、中期和长期配置，例如保持必要现金及现金等价物，配置部分低风险、高流动性金融资产，对长期资产和战略投资实行严格评估。同时，应重点控制市场波动风险、信用风险、流动性风险、利率和汇率风险以及期限错配风险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四，提高资本配置效率。资产管理必须与资本预算、投资回报率和企业战略结合起来。大中型企业要避免“有钱就投、看热点就上”的做法，而应建立投资准入机制，对每项资产配置或投资项目进行充分论证，重点考察预期现金流、风险收益比、投资回收期、内部收益率和净现值，以及是否符合企业长期战略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五，推进数字化和专业化管理。在复杂环境下，企业资产管理越来越依赖数据和系统支持。企业应通过数字化手段加强资金集中管理、投资监控、风险预警和资产绩效评估，提高管理效率。同时，应建立专业团队或引入专业机构，提高决策科学性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基于美林周期和价值投资理论，大中型企业资产管理应做到：顺周期判断、逆情绪决策、长期价值导向、风险控制优先，并始终服务于主营业务和企业战略目标。只有这样，企业才能在不同经济环境下实现资产保值增值，提升整体财务稳健性和长期竞争力。</w:t>
      </w:r>
    </w:p>
    <w:p>
      <w:pPr>
        <w:spacing w:after="287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5. 简述中小企业财金数字化的必要性和可行性。</w:t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参考答案：</w:t>
      </w:r>
      <w:r>
        <w:rPr>
          <w:rFonts w:ascii="PingFang SC" w:hAnsi="PingFang SC" w:cs="PingFang SC"/>
          <w:sz w:val="32"/>
          <w:sz-cs w:val="32"/>
          <w:spacing w:val="0"/>
        </w:rPr>
        <w:t xml:space="preserve">在当前数字经济快速发展的背景下，中小企业推进财金数字化已成为提升经营效率、加强风险控制和增强融资能力的重要路径。无论从现实需求还是实施条件来看，中小企业财金数字化都具有明显的必要性与可行性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一、必要性。第一，有助于提升经营效率。传统财务管理方式往往依赖人工记账、手工报销和线下对账，不仅效率低，而且容易出错。通过财金数字化，中小企业可以实现记账、开票、报销、对账、预算、资金管理等流程自动化，从而节省人力成本，提升运营效率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二，有助于加强内控和风险管理。许多中小企业在成长过程中存在财务基础薄弱、制度不完善、流程不规范等问题，容易出现数据失真、管理失控或舞弊风险。数字化系统可以实现权限管理、流程留痕、实时监控和自动预警，有助于提升企业内部控制水平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三，有助于支持经营决策与融资。财务数据不仅是记账工具，更是经营决策的重要依据。中小企业通过数字化手段，可以更准确地掌握收入、成本、利润、现金流、库存和应收账款等关键数据，提高决策时效性。同时，规范、真实、连续的数据记录也能增强银行、投资人和金融机构对企业的信任，提高融资可得性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第四，有助于推动业财融合。数字化财务系统可以与销售、采购、库存、客户管理等业务系统联通，使财务从“事后记账”转向“过程管控”和“经营分析”，提升财务对业务的支持能力。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二、可行性。第一，技术工具日益成熟。当前市场上已有大量适用于中小企业的云财务软件、ERP系统、电子发票平台、银行直联系统和自动化工具，产品成熟度高、使用门槛低、成本可控，为中小企业推进数字化提供了基础条件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第二，政策环境持续改善。国家近年来大力推动数字经济发展，税务电子化、电子发票普及、金融线上化服务和政务数字化不断完善，为中小企业财金数字化创造了良好外部环境。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第三，实施路径灵活，分步推进可行。中小企业不必一次性进行全面数字化改造，可以从最关键、最迫切的环节入手，如报销和费用审批数字化、开票与税务数字化、应收应付管理数字化、资金和现金流管理数字化。随着企业能力提升，再逐步推进业财一体化和全面数据分析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</w:rPr>
        <w:t xml:space="preserve">中小企业财金数字化已不是“做不做”的问题，而是“何时做、如何做”的问题。从必要性上看，它有助于提升效率、控制风险、支持融资和促进业财融合；从可行性上看，成熟技术、政策支持和分阶段实施路径都使其具备较强落地条件。因此，中小企业应结合自身规模和发展阶段，循序渐进推进财金数字化建设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