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40"/>
      </w:pPr>
      <w:r>
        <w:t>SurfX 생태계와</w:t>
        <w:br/>
        <w:t>공용 토큰 백서</w:t>
      </w:r>
    </w:p>
    <w:p>
      <w:pPr>
        <w:pStyle w:val="Subtitle"/>
      </w:pPr>
      <w:r>
        <w:t>게임과 유틸리티 앱 및 시스템 트레이딩의</w:t>
        <w:br/>
        <w:t>공용 토큰과 운영 구조</w:t>
      </w:r>
    </w:p>
    <w:p>
      <w:pPr>
        <w:spacing w:after="480"/>
      </w:pPr>
      <w:r>
        <w:rPr>
          <w:rFonts w:ascii="Noto Sans CJK KR" w:hAnsi="Noto Sans CJK KR" w:eastAsia="Noto Sans CJK KR"/>
          <w:color w:val="444444"/>
          <w:sz w:val="20"/>
        </w:rPr>
        <w:t>운영 정책 반영본 v0.2</w:t>
        <w:br/>
        <w:t>2026년 10월 28일</w:t>
      </w:r>
    </w:p>
    <w:p>
      <w:r>
        <w:t>SurfX는 전 세계 이용자를 대상으로 모바일 게임, 유틸리티 앱과 주식·코인 시스템 트레이딩 도구를 하나의 계정과 공용 토큰으로 연결한다. 파도와 서핑을 브랜드의 중심에 두고 이용자·개발자·창작자의 결제와 정산을 공통 규칙으로 연결하는 것이 이 백서의 목적이다.</w:t>
      </w:r>
    </w:p>
    <w:p>
      <w:r>
        <w:t>SurfX는 BNB Smart Chain을 사용하며, BEP-20 기반 SURFX를 공용 유틸리티 토큰으로 설계한다. 앱별 점수와 포인트는 각 서비스의 목적에 맞게 유지하고, 승인된 사용처와 재화만 공개된 조건으로 연결한다.</w:t>
      </w:r>
    </w:p>
    <w:p>
      <w:r>
        <w:t>운영 책임자는 대표자이며, 공식 지원 창구는 텔레그램·왓츠앱·이메일로 구성한다. 개별 출시 서비스는 정리 후 공개한다. 토큰 공급·보안·재화·운영 재원은 발행 준비 기준안이며, 대표자와 사업자 정보 및 공식 이메일은 본문에 기재하고, 텔레그램·왓츠앱 채널은 개설 후 공개한다.</w:t>
      </w:r>
    </w:p>
    <w:p>
      <w:r>
        <w:br w:type="page"/>
      </w:r>
    </w:p>
    <w:p>
      <w:pPr>
        <w:pStyle w:val="Heading1"/>
      </w:pPr>
      <w:r>
        <w:t>목차</w:t>
      </w:r>
    </w:p>
    <w:p>
      <w:pPr>
        <w:spacing w:after="70" w:line="360" w:lineRule="exact"/>
      </w:pPr>
      <w:hyperlink w:anchor="section_1">
        <w:r>
          <w:rPr>
            <w:rFonts w:ascii="Noto Sans CJK KR" w:hAnsi="Noto Sans CJK KR" w:eastAsia="Noto Sans CJK KR"/>
            <w:color w:val="000000"/>
            <w:sz w:val="22"/>
          </w:rPr>
          <w:t>01 프로젝트 개요</w:t>
        </w:r>
      </w:hyperlink>
    </w:p>
    <w:p>
      <w:pPr>
        <w:spacing w:after="70" w:line="360" w:lineRule="exact"/>
      </w:pPr>
      <w:hyperlink w:anchor="section_2">
        <w:r>
          <w:rPr>
            <w:rFonts w:ascii="Noto Sans CJK KR" w:hAnsi="Noto Sans CJK KR" w:eastAsia="Noto Sans CJK KR"/>
            <w:color w:val="000000"/>
            <w:sz w:val="22"/>
          </w:rPr>
          <w:t>02 파도와 서핑으로 연결하는 브랜드</w:t>
        </w:r>
      </w:hyperlink>
    </w:p>
    <w:p>
      <w:pPr>
        <w:spacing w:after="70" w:line="360" w:lineRule="exact"/>
      </w:pPr>
      <w:hyperlink w:anchor="section_3">
        <w:r>
          <w:rPr>
            <w:rFonts w:ascii="Noto Sans CJK KR" w:hAnsi="Noto Sans CJK KR" w:eastAsia="Noto Sans CJK KR"/>
            <w:color w:val="000000"/>
            <w:sz w:val="22"/>
          </w:rPr>
          <w:t>03 운영 주체와 공식 지원 창구</w:t>
        </w:r>
      </w:hyperlink>
    </w:p>
    <w:p>
      <w:pPr>
        <w:spacing w:after="70" w:line="360" w:lineRule="exact"/>
      </w:pPr>
      <w:hyperlink w:anchor="section_4">
        <w:r>
          <w:rPr>
            <w:rFonts w:ascii="Noto Sans CJK KR" w:hAnsi="Noto Sans CJK KR" w:eastAsia="Noto Sans CJK KR"/>
            <w:color w:val="000000"/>
            <w:sz w:val="22"/>
          </w:rPr>
          <w:t>04 글로벌 시장과 서비스 제공 정책</w:t>
        </w:r>
      </w:hyperlink>
    </w:p>
    <w:p>
      <w:pPr>
        <w:spacing w:after="70" w:line="360" w:lineRule="exact"/>
      </w:pPr>
      <w:hyperlink w:anchor="section_5">
        <w:r>
          <w:rPr>
            <w:rFonts w:ascii="Noto Sans CJK KR" w:hAnsi="Noto Sans CJK KR" w:eastAsia="Noto Sans CJK KR"/>
            <w:color w:val="000000"/>
            <w:sz w:val="22"/>
          </w:rPr>
          <w:t>05 해결하려는 문제</w:t>
        </w:r>
      </w:hyperlink>
    </w:p>
    <w:p>
      <w:pPr>
        <w:spacing w:after="70" w:line="360" w:lineRule="exact"/>
      </w:pPr>
      <w:hyperlink w:anchor="section_6">
        <w:r>
          <w:rPr>
            <w:rFonts w:ascii="Noto Sans CJK KR" w:hAnsi="Noto Sans CJK KR" w:eastAsia="Noto Sans CJK KR"/>
            <w:color w:val="000000"/>
            <w:sz w:val="22"/>
          </w:rPr>
          <w:t>06 SurfX 토큰이 필요한 이유</w:t>
        </w:r>
      </w:hyperlink>
    </w:p>
    <w:p>
      <w:pPr>
        <w:spacing w:after="70" w:line="360" w:lineRule="exact"/>
      </w:pPr>
      <w:hyperlink w:anchor="section_8">
        <w:r>
          <w:rPr>
            <w:rFonts w:ascii="Noto Sans CJK KR" w:hAnsi="Noto Sans CJK KR" w:eastAsia="Noto Sans CJK KR"/>
            <w:color w:val="000000"/>
            <w:sz w:val="22"/>
          </w:rPr>
          <w:t>07 기반 체인 선정</w:t>
        </w:r>
      </w:hyperlink>
    </w:p>
    <w:p>
      <w:pPr>
        <w:spacing w:after="70" w:line="360" w:lineRule="exact"/>
      </w:pPr>
      <w:hyperlink w:anchor="section_9">
        <w:r>
          <w:rPr>
            <w:rFonts w:ascii="Noto Sans CJK KR" w:hAnsi="Noto Sans CJK KR" w:eastAsia="Noto Sans CJK KR"/>
            <w:color w:val="000000"/>
            <w:sz w:val="22"/>
          </w:rPr>
          <w:t>08 출시 서비스와 생태계 구성</w:t>
        </w:r>
      </w:hyperlink>
    </w:p>
    <w:p>
      <w:pPr>
        <w:spacing w:after="70" w:line="360" w:lineRule="exact"/>
      </w:pPr>
      <w:hyperlink w:anchor="section_10">
        <w:r>
          <w:rPr>
            <w:rFonts w:ascii="Noto Sans CJK KR" w:hAnsi="Noto Sans CJK KR" w:eastAsia="Noto Sans CJK KR"/>
            <w:color w:val="000000"/>
            <w:sz w:val="22"/>
          </w:rPr>
          <w:t>09 주식과 코인 시스템 트레이딩</w:t>
        </w:r>
      </w:hyperlink>
    </w:p>
    <w:p>
      <w:pPr>
        <w:spacing w:after="70" w:line="360" w:lineRule="exact"/>
      </w:pPr>
      <w:hyperlink w:anchor="section_11">
        <w:r>
          <w:rPr>
            <w:rFonts w:ascii="Noto Sans CJK KR" w:hAnsi="Noto Sans CJK KR" w:eastAsia="Noto Sans CJK KR"/>
            <w:color w:val="000000"/>
            <w:sz w:val="22"/>
          </w:rPr>
          <w:t>10 공용 토큰의 사용처</w:t>
        </w:r>
      </w:hyperlink>
    </w:p>
    <w:p>
      <w:pPr>
        <w:spacing w:after="70" w:line="360" w:lineRule="exact"/>
      </w:pPr>
      <w:hyperlink w:anchor="section_12">
        <w:r>
          <w:rPr>
            <w:rFonts w:ascii="Noto Sans CJK KR" w:hAnsi="Noto Sans CJK KR" w:eastAsia="Noto Sans CJK KR"/>
            <w:color w:val="000000"/>
            <w:sz w:val="22"/>
          </w:rPr>
          <w:t>11 토큰의 일반 사용권과 보유자 권리</w:t>
        </w:r>
      </w:hyperlink>
    </w:p>
    <w:p>
      <w:pPr>
        <w:spacing w:after="70" w:line="360" w:lineRule="exact"/>
      </w:pPr>
      <w:hyperlink w:anchor="section_13">
        <w:r>
          <w:rPr>
            <w:rFonts w:ascii="Noto Sans CJK KR" w:hAnsi="Noto Sans CJK KR" w:eastAsia="Noto Sans CJK KR"/>
            <w:color w:val="000000"/>
            <w:sz w:val="22"/>
          </w:rPr>
          <w:t>12 모든 재화를 연결하는 통합 사용 구조</w:t>
        </w:r>
      </w:hyperlink>
    </w:p>
    <w:p>
      <w:pPr>
        <w:spacing w:after="70" w:line="360" w:lineRule="exact"/>
      </w:pPr>
      <w:hyperlink w:anchor="section_14">
        <w:r>
          <w:rPr>
            <w:rFonts w:ascii="Noto Sans CJK KR" w:hAnsi="Noto Sans CJK KR" w:eastAsia="Noto Sans CJK KR"/>
            <w:color w:val="000000"/>
            <w:sz w:val="22"/>
          </w:rPr>
          <w:t>13 사용자 경험과 기술 구조</w:t>
        </w:r>
      </w:hyperlink>
    </w:p>
    <w:p>
      <w:pPr>
        <w:spacing w:after="70" w:line="360" w:lineRule="exact"/>
      </w:pPr>
      <w:hyperlink w:anchor="section_15">
        <w:r>
          <w:rPr>
            <w:rFonts w:ascii="Noto Sans CJK KR" w:hAnsi="Noto Sans CJK KR" w:eastAsia="Noto Sans CJK KR"/>
            <w:color w:val="000000"/>
            <w:sz w:val="22"/>
          </w:rPr>
          <w:t>14 서비스 가격과 정산</w:t>
        </w:r>
      </w:hyperlink>
    </w:p>
    <w:p>
      <w:pPr>
        <w:spacing w:after="70" w:line="360" w:lineRule="exact"/>
      </w:pPr>
      <w:hyperlink w:anchor="section_16">
        <w:r>
          <w:rPr>
            <w:rFonts w:ascii="Noto Sans CJK KR" w:hAnsi="Noto Sans CJK KR" w:eastAsia="Noto Sans CJK KR"/>
            <w:color w:val="000000"/>
            <w:sz w:val="22"/>
          </w:rPr>
          <w:t>15 토큰 공급과 배분 기준안</w:t>
        </w:r>
      </w:hyperlink>
    </w:p>
    <w:p>
      <w:pPr>
        <w:spacing w:after="70" w:line="360" w:lineRule="exact"/>
      </w:pPr>
      <w:hyperlink w:anchor="section_17">
        <w:r>
          <w:rPr>
            <w:rFonts w:ascii="Noto Sans CJK KR" w:hAnsi="Noto Sans CJK KR" w:eastAsia="Noto Sans CJK KR"/>
            <w:color w:val="000000"/>
            <w:sz w:val="22"/>
          </w:rPr>
          <w:t>16 잠금과 유통량 공개</w:t>
        </w:r>
      </w:hyperlink>
    </w:p>
    <w:p>
      <w:pPr>
        <w:spacing w:after="70" w:line="360" w:lineRule="exact"/>
      </w:pPr>
      <w:hyperlink w:anchor="section_18">
        <w:r>
          <w:rPr>
            <w:rFonts w:ascii="Noto Sans CJK KR" w:hAnsi="Noto Sans CJK KR" w:eastAsia="Noto Sans CJK KR"/>
            <w:color w:val="000000"/>
            <w:sz w:val="22"/>
          </w:rPr>
          <w:t>17 보상 예산과 운영 재원</w:t>
        </w:r>
      </w:hyperlink>
    </w:p>
    <w:p>
      <w:pPr>
        <w:spacing w:after="70" w:line="360" w:lineRule="exact"/>
      </w:pPr>
      <w:hyperlink w:anchor="section_19">
        <w:r>
          <w:rPr>
            <w:rFonts w:ascii="Noto Sans CJK KR" w:hAnsi="Noto Sans CJK KR" w:eastAsia="Noto Sans CJK KR"/>
            <w:color w:val="000000"/>
            <w:sz w:val="22"/>
          </w:rPr>
          <w:t>18 스마트계약 보안과 운영 통제</w:t>
        </w:r>
      </w:hyperlink>
    </w:p>
    <w:p>
      <w:pPr>
        <w:spacing w:after="70" w:line="360" w:lineRule="exact"/>
      </w:pPr>
      <w:hyperlink w:anchor="section_20">
        <w:r>
          <w:rPr>
            <w:rFonts w:ascii="Noto Sans CJK KR" w:hAnsi="Noto Sans CJK KR" w:eastAsia="Noto Sans CJK KR"/>
            <w:color w:val="000000"/>
            <w:sz w:val="22"/>
          </w:rPr>
          <w:t>19 대표자 운영과 커뮤니티 참여</w:t>
        </w:r>
      </w:hyperlink>
    </w:p>
    <w:p>
      <w:pPr>
        <w:spacing w:after="70" w:line="360" w:lineRule="exact"/>
      </w:pPr>
      <w:hyperlink w:anchor="section_21">
        <w:r>
          <w:rPr>
            <w:rFonts w:ascii="Noto Sans CJK KR" w:hAnsi="Noto Sans CJK KR" w:eastAsia="Noto Sans CJK KR"/>
            <w:color w:val="000000"/>
            <w:sz w:val="22"/>
          </w:rPr>
          <w:t>20 확장성과 미래 방향</w:t>
        </w:r>
      </w:hyperlink>
    </w:p>
    <w:p>
      <w:pPr>
        <w:spacing w:after="70" w:line="360" w:lineRule="exact"/>
      </w:pPr>
      <w:hyperlink w:anchor="section_22">
        <w:r>
          <w:rPr>
            <w:rFonts w:ascii="Noto Sans CJK KR" w:hAnsi="Noto Sans CJK KR" w:eastAsia="Noto Sans CJK KR"/>
            <w:color w:val="000000"/>
            <w:sz w:val="22"/>
          </w:rPr>
          <w:t>21 단계별 개발 로드맵</w:t>
        </w:r>
      </w:hyperlink>
    </w:p>
    <w:p>
      <w:pPr>
        <w:spacing w:after="70" w:line="360" w:lineRule="exact"/>
      </w:pPr>
      <w:hyperlink w:anchor="section_23">
        <w:r>
          <w:rPr>
            <w:rFonts w:ascii="Noto Sans CJK KR" w:hAnsi="Noto Sans CJK KR" w:eastAsia="Noto Sans CJK KR"/>
            <w:color w:val="000000"/>
            <w:sz w:val="22"/>
          </w:rPr>
          <w:t>22 성과 지표와 공개 원칙</w:t>
        </w:r>
      </w:hyperlink>
    </w:p>
    <w:p>
      <w:pPr>
        <w:spacing w:after="70" w:line="360" w:lineRule="exact"/>
      </w:pPr>
      <w:hyperlink w:anchor="section_24">
        <w:r>
          <w:rPr>
            <w:rFonts w:ascii="Noto Sans CJK KR" w:hAnsi="Noto Sans CJK KR" w:eastAsia="Noto Sans CJK KR"/>
            <w:color w:val="000000"/>
            <w:sz w:val="22"/>
          </w:rPr>
          <w:t>23 출시 조건과 주요 위험</w:t>
        </w:r>
      </w:hyperlink>
    </w:p>
    <w:p>
      <w:pPr>
        <w:spacing w:after="70" w:line="360" w:lineRule="exact"/>
      </w:pPr>
      <w:hyperlink w:anchor="section_25">
        <w:r>
          <w:rPr>
            <w:rFonts w:ascii="Noto Sans CJK KR" w:hAnsi="Noto Sans CJK KR" w:eastAsia="Noto Sans CJK KR"/>
            <w:color w:val="000000"/>
            <w:sz w:val="22"/>
          </w:rPr>
          <w:t>24 공개 정보와 백서 변경 관리</w:t>
        </w:r>
      </w:hyperlink>
    </w:p>
    <w:p>
      <w:pPr>
        <w:spacing w:after="70"/>
      </w:pPr>
      <w:hyperlink w:anchor="references">
        <w:r>
          <w:rPr>
            <w:rFonts w:ascii="Noto Sans CJK KR" w:hAnsi="Noto Sans CJK KR" w:eastAsia="Noto Sans CJK KR"/>
            <w:color w:val="000000"/>
            <w:sz w:val="22"/>
          </w:rPr>
          <w:t>25 참고 자료</w:t>
        </w:r>
      </w:hyperlink>
    </w:p>
    <w:p>
      <w:r>
        <w:br w:type="page"/>
      </w:r>
    </w:p>
    <w:p>
      <w:bookmarkStart w:id="1" w:name="section_1"/>
      <w:pPr>
        <w:pStyle w:val="Heading1"/>
      </w:pPr>
      <w:r>
        <w:t>01 프로젝트 개요</w:t>
      </w:r>
      <w:bookmarkEnd w:id="1"/>
    </w:p>
    <w:p>
      <w:r>
        <w:t>SurfX는 전 세계 이용자를 대상으로 모바일 게임, 유틸리티 앱, 디지털 콘텐츠와 주식·코인 시스템 트레이딩 도구를 하나의 계정과 공용 토큰으로 연결하는 생태계를 지향한다. 이용자는 연결된 서비스에서 지원되는 기능과 상품을 같은 토큰으로 이용하고, 개발자와 창작자는 공통된 결제·보상·정산 체계에 참여할 수 있다.</w:t>
      </w:r>
    </w:p>
    <w:p>
      <w:r>
        <w:t>SurfX Token은 이러한 생태계의 공용 유틸리티 토큰이다. 본 설계안에서는 토큰 기호를 SURFX로 가칭하고, 최초 발행 체인으로 BNB Smart Chain의 BEP-20 표준을 채택한다. 독자적인 메인넷의 네이티브 코인이 아니라 기존 블록체인 위에서 발행하는 토큰이며, 네트워크 수수료 자산인 BNB와 역할을 구분한다.</w:t>
      </w:r>
    </w:p>
    <w:p>
      <w:r>
        <w:t>SurfX의 목표는 자사 시스템과 콘텐츠가 순차적으로 동일한 토큰 사용 인터페이스를 지원하도록 만드는 것이다. 이용자는 지원되는 게임 콘텐츠, 앱 기능, 창작물과 멤버십을 SURFX로 이용하고, 승인된 보상은 공통 계정에서 관리한다. 실제 결제·전환 가능 범위는 서비스, 재화, 국가, 앱 배포 경로별 정책에 따라 명시한다.</w:t>
      </w:r>
    </w:p>
    <w:p>
      <w:r>
        <w:t>SurfX의 성장은 신규 토큰 구매자의 증가보다 사용자가 반복해서 찾는 서비스의 품질, 여러 앱을 오가는 이용 경험, 개발자에게 돌아가는 실질적인 정산 가치를 통해 평가한다. 사용처의 확대는 토큰을 사용할 이유를 늘리지만, 토큰 가격이나 시장 유동성을 보장하지는 않는다.</w:t>
      </w:r>
    </w:p>
    <w:p>
      <w:r>
        <w:t>본 문서는 운영 정책을 반영한 백서 v0.2다. 대표자 운영, 텔레그램·왓츠앱·이메일 지원, 글로벌 시장 지향을 프로젝트의 기본 방향으로 명시한다. 개별 출시 서비스는 정리 후 공개하며, 토큰 공급·배분·계약·재화·재원 항목은 발행을 준비하기 위한 기준안이다. 실제 배포, 자금 확보, 감사나 계약 체결의 완료 여부는 별도 공시로 확인한다.</w:t>
      </w:r>
    </w:p>
    <w:p>
      <w:bookmarkStart w:id="2" w:name="section_2"/>
      <w:pPr>
        <w:pStyle w:val="Heading1"/>
      </w:pPr>
      <w:r>
        <w:t>02 파도와 서핑으로 연결하는 브랜드</w:t>
      </w:r>
      <w:bookmarkEnd w:id="2"/>
    </w:p>
    <w:p>
      <w:r>
        <w:t>파도는 끊임없이 도착하는 새로운 경험을 상징한다. 서핑은 그 경험을 스스로 선택하고 즐기며 다음 경험으로 이동하는 행동이다. SurfX는 게임 한 판, 한 장의 이미지 제작, 생활 속 작은 도구의 사용, 창작물의 공유처럼 흩어진 디지털 활동이 하나의 흐름으로 이어지도록 설계한다.</w:t>
      </w:r>
    </w:p>
    <w:p>
      <w:r>
        <w:t>하나의 게임이 끝나도 이용자의 계정, 적립 내역과 지원 자산은 다음 서비스에서 다시 활용될 수 있어야 한다. SurfX는 사용자가 파도를 옮겨 타듯 서비스를 이동하면서도 자신의 경험과 이용 권한을 이어가는 환경을 지향한다. 이 연결은 실제로 연동된 서비스의 계약과 인터페이스를 통해 구현한다.</w:t>
      </w:r>
    </w:p>
    <w:p>
      <w:r>
        <w:t>서핑과 바다의 시각 언어는 모바일 게임, 시즌 콘텐츠, 아바타와 커뮤니티 경험의 공통 정체성으로 활용한다. 다만 생태계의 범위를 서핑 게임에 한정하지 않는다. 사진·영상 도구, 생산성 앱, 창작 도구와 파트너 서비스까지 같은 계정과 결제 체계로 연결하는 것이 장기 방향이다.</w:t>
      </w:r>
    </w:p>
    <w:p>
      <w:bookmarkStart w:id="3" w:name="section_3"/>
      <w:pPr>
        <w:pStyle w:val="Heading1"/>
      </w:pPr>
      <w:r>
        <w:t>03 운영 주체와 공식 지원 창구</w:t>
      </w:r>
      <w:bookmarkEnd w:id="3"/>
    </w:p>
    <w:p>
      <w:r>
        <w:t>SurfX의 운영 책임자는 대표자다. 대표자는 서비스 기획과 출시, 재무 집행, 토큰 운영 정책, 이용자 지원과 사고 대응에 대한 최종 책임을 맡는다. 현재 존재하지 않는 이사회, 재단, 상근 개발팀이나 독립 승인 조직을 운영 주체로 표시하지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76"/>
        <w:gridCol w:w="7128"/>
      </w:tblGrid>
      <w:tr>
        <w:trPr>
          <w:cantSplit/>
          <w:tblHeader/>
        </w:trPr>
        <w:tc>
          <w:tcPr>
            <w:tcW w:type="dxa" w:w="2376"/>
            <w:vAlign w:val="center"/>
            <w:shd w:fill="173E51"/>
          </w:tcPr>
          <w:p>
            <w:pPr>
              <w:keepNext/>
              <w:widowControl/>
              <w:spacing w:after="0" w:before="0" w:line="300" w:lineRule="exact"/>
              <w:jc w:val="center"/>
            </w:pPr>
            <w:r>
              <w:rPr>
                <w:rFonts w:ascii="Noto Sans CJK KR" w:hAnsi="Noto Sans CJK KR" w:eastAsia="Noto Sans CJK KR"/>
                <w:b/>
                <w:color w:val="FFFFFF"/>
                <w:sz w:val="20"/>
              </w:rPr>
              <w:t>항목</w:t>
            </w:r>
          </w:p>
        </w:tc>
        <w:tc>
          <w:tcPr>
            <w:tcW w:type="dxa" w:w="7128"/>
            <w:vAlign w:val="center"/>
            <w:shd w:fill="173E51"/>
          </w:tcPr>
          <w:p>
            <w:pPr>
              <w:keepNext/>
              <w:widowControl/>
              <w:spacing w:after="0" w:before="0" w:line="300" w:lineRule="exact"/>
              <w:jc w:val="center"/>
            </w:pPr>
            <w:r>
              <w:rPr>
                <w:rFonts w:ascii="Noto Sans CJK KR" w:hAnsi="Noto Sans CJK KR" w:eastAsia="Noto Sans CJK KR"/>
                <w:b/>
                <w:color w:val="FFFFFF"/>
                <w:sz w:val="20"/>
              </w:rPr>
              <w:t>운영 정보</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운영 형태</w:t>
            </w:r>
          </w:p>
        </w:tc>
        <w:tc>
          <w:tcPr>
            <w:tcW w:type="dxa" w:w="7128"/>
            <w:vAlign w:val="center"/>
            <w:shd w:fill="FFFFFF"/>
          </w:tcPr>
          <w:p>
            <w:r>
              <w:t>기업</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상호와 사업자 정보</w:t>
            </w:r>
          </w:p>
        </w:tc>
        <w:tc>
          <w:tcPr>
            <w:tcW w:type="dxa" w:w="7128"/>
            <w:vAlign w:val="center"/>
            <w:shd w:fill="F1F5F6"/>
          </w:tcPr>
          <w:p>
            <w:r>
              <w:t>Neocode · 사업자등록번호 422-29-01059</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w:t>
            </w:r>
          </w:p>
        </w:tc>
        <w:tc>
          <w:tcPr>
            <w:tcW w:type="dxa" w:w="7128"/>
            <w:vAlign w:val="center"/>
            <w:shd w:fill="FFFFFF"/>
          </w:tcPr>
          <w:p>
            <w:r>
              <w:t>박은성</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목표 시장</w:t>
            </w:r>
          </w:p>
        </w:tc>
        <w:tc>
          <w:tcPr>
            <w:tcW w:type="dxa" w:w="71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글로벌 전 세계</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텔레그램 Telegram</w:t>
            </w:r>
          </w:p>
        </w:tc>
        <w:tc>
          <w:tcPr>
            <w:tcW w:type="dxa" w:w="7128"/>
            <w:vAlign w:val="center"/>
            <w:shd w:fill="FFFFFF"/>
          </w:tcPr>
          <w:p>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왓츠앱 WhatsApp</w:t>
            </w:r>
          </w:p>
        </w:tc>
        <w:tc>
          <w:tcPr>
            <w:tcW w:type="dxa" w:w="7128"/>
            <w:vAlign w:val="center"/>
            <w:shd w:fill="F1F5F6"/>
          </w:tcPr>
          <w:p>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이메일</w:t>
            </w:r>
          </w:p>
        </w:tc>
        <w:tc>
          <w:tcPr>
            <w:tcW w:type="dxa" w:w="7128"/>
            <w:vAlign w:val="center"/>
            <w:shd w:fill="FFFFFF"/>
          </w:tcPr>
          <w:p>
            <w:r>
              <w:t>neocode.kr@gmail.com</w:t>
            </w:r>
          </w:p>
        </w:tc>
      </w:tr>
    </w:tbl>
    <w:p>
      <w:pPr>
        <w:spacing w:after="0" w:before="0" w:line="240" w:lineRule="auto"/>
      </w:pPr>
      <w:r>
        <w:rPr>
          <w:sz w:val="8"/>
        </w:rPr>
      </w:r>
    </w:p>
    <w:p>
      <w:r>
        <w:t>텔레그램은 공지와 커뮤니티 안내, 왓츠앱은 개별 이용 문의, 이메일은 정산·환불·보안 신고와 공식 기록이 필요한 문의의 기본 창구로 구성한다. 모든 채널의 문의는 가능한 범위에서 하나의 접수 기록으로 관리하며, 처리 상태와 결과를 안내한다. 운영 시간, 지원 언어와 예상 응답 시간은 창구 개설 시 공개한다.</w:t>
      </w:r>
    </w:p>
    <w:p>
      <w:r>
        <w:t>텔레그램·왓츠앱 계정과 주소는 개설·확인 후 백서 개정본과 공식 안내에 동일하게 기재한다. 공란은 현재 활성화된 연락처를 뜻하지 않는다. 공식 문의 이메일은 neocode.kr@gmail.com이다. 대표자나 공식 지원자는 이용자의 개인키 또는 지갑 복구 문구를 요구하지 않는다. 민감한 개인정보는 공개 커뮤니티에 제출하도록 요청하지 않는다.</w:t>
      </w:r>
    </w:p>
    <w:p>
      <w:r>
        <w:t>개발, 보안 검토, 디자인과 법률·회계 업무는 필요할 때 외부 전문가에게 위탁할 수 있다. 위탁 범위, 지급 조건과 접근 권한은 실제 계약에 따라 설정하고 관리 책임은 대표자가 담당한다. 외부 자문이나 검토는 계약 체결과 수행이 확인된 이후에만 해당 역할로 공시한다.</w:t>
      </w:r>
    </w:p>
    <w:p>
      <w:r>
        <w:t>대표자 부재에 대비해 관리 계정 목록, 키 복구 절차, 서버·도메인 갱신 정보와 비상 공지 절차를 문서화한다. 대체 담당자나 복구 수탁자를 두는 경우에는 실제 지정과 권한 범위를 공개한다. 지정 전까지는 독립적인 대체 운영자가 존재한다고 표시하지 않는다.</w:t>
      </w:r>
    </w:p>
    <w:p>
      <w:bookmarkStart w:id="4" w:name="section_4"/>
      <w:pPr>
        <w:pStyle w:val="Heading1"/>
      </w:pPr>
      <w:r>
        <w:t>04 글로벌 시장과 서비스 제공 정책</w:t>
      </w:r>
      <w:bookmarkEnd w:id="4"/>
    </w:p>
    <w:p>
      <w:r>
        <w:t>SurfX의 목표 시장은 특정 국가에 한정하지 않는 글로벌 전 세계다. 공통 계정과 토큰 이용 규격을 바탕으로 다양한 국가의 이용자와 개발자가 참여할 수 있는 서비스를 준비한다. 글로벌 지향은 모든 국가에서 모든 토큰 기능의 제공이나 판매가 승인되었다는 의미는 아니다.</w:t>
      </w:r>
    </w:p>
    <w:p>
      <w:r>
        <w:t>일반 앱 이용, 지갑 연결, 토큰 지급, 토큰 결제와 외부 이전은 서로 다른 기능으로 구분한다. 실제 공개 서비스의 국가·연령·배포 경로별 제공 범위는 기능 목록으로 관리하고, 필요한 조건을 충족한 기능부터 활성화한다. 적용되는 법률이나 스토어 정책으로 특정 기능을 제공할 수 없는 경우 이용 전에 해당 범위를 안내한다.</w:t>
      </w:r>
    </w:p>
    <w:p>
      <w:r>
        <w:t>세계 시장을 위한 서비스 안내는 한국어와 영어를 우선 검토하고, 수요와 운영 여력에 따라 지원 언어를 확장한다. 가격과 상품 제공량, 토큰 결제 수량, 수수료와 환불 조건을 이용자가 구분할 수 있도록 표시한다. 거래 시각의 기준과 고객지원 운영 시간도 명시한다.</w:t>
      </w:r>
    </w:p>
    <w:p>
      <w:r>
        <w:t>출시 국가와 배포 채널은 서비스별 공개 목록에 반영한다. 특정 지역에서 제한되는 토큰 기능을 다른 배포 방식으로 우회 제공하는 것을 글로벌 운영 원칙으로 삼지 않는다. 서비스 중단이나 지원 범위 변경 시 이미 확정된 이용권·정산 의무의 처리 방식을 함께 고지한다.</w:t>
      </w:r>
    </w:p>
    <w:p>
      <w:bookmarkStart w:id="5" w:name="section_5"/>
      <w:pPr>
        <w:pStyle w:val="Heading1"/>
      </w:pPr>
      <w:r>
        <w:t>05 해결하려는 문제</w:t>
      </w:r>
      <w:bookmarkEnd w:id="5"/>
    </w:p>
    <w:p>
      <w:pPr>
        <w:pStyle w:val="Heading2"/>
      </w:pPr>
      <w:r>
        <w:t>서비스마다 단절된 재화와 이용 경험</w:t>
      </w:r>
    </w:p>
    <w:p>
      <w:r>
        <w:t>한 앱의 포인트나 이용권이 다른 앱에서 어떤 권리를 갖는지 알기 어렵다면, 사용자는 서비스마다 잔액과 결제 조건을 따로 관리해야 한다. SurfX가 해결하려는 문제는 이 관리 부담이다. 공통 지갑과 상품 목록, 명확한 전환 규칙을 제공해 사용 가능한 재화를 알아보기 쉽게 만든다.</w:t>
      </w:r>
    </w:p>
    <w:p>
      <w:pPr>
        <w:pStyle w:val="Heading2"/>
      </w:pPr>
      <w:r>
        <w:t>블록체인 이용 과정의 복잡성</w:t>
      </w:r>
    </w:p>
    <w:p>
      <w:r>
        <w:t>지갑 생성, 키 보관, 체인 선택, 수수료 준비와 서명 요청이 첫 이용에 집중되면 게임과 앱의 본래 목적이 가려진다. SurfX는 일반 기능을 계정 로그인으로 먼저 이용하게 하고, 사용자가 온체인 자산을 보유하거나 이전할 때 필요한 절차를 단계적으로 안내하는 방식을 제안한다.</w:t>
      </w:r>
    </w:p>
    <w:p>
      <w:pPr>
        <w:pStyle w:val="Heading2"/>
      </w:pPr>
      <w:r>
        <w:t>지급량이 사용처보다 먼저 커지는 보상 구조</w:t>
      </w:r>
    </w:p>
    <w:p>
      <w:r>
        <w:t>보상이 늘어나는 속도에 비해 사용자가 구매하려는 콘텐츠와 서비스가 충분하지 않으면 보상 프로그램의 비용과 매도 부담이 커질 수 있다. SurfX는 지급 예산, 실질적인 서비스 소비, 운영 현금흐름을 함께 관리한다. 반복 참여만으로 무제한 토큰 지급 의무가 생기는 설계를 기본값으로 삼지 않는다.</w:t>
      </w:r>
    </w:p>
    <w:p>
      <w:pPr>
        <w:pStyle w:val="Heading2"/>
      </w:pPr>
      <w:r>
        <w:t>개발자와 창작자의 연결 비용</w:t>
      </w:r>
    </w:p>
    <w:p>
      <w:r>
        <w:t>서비스마다 계정, 지갑, 결제, 보상 검증과 정산을 별도로 구축하면 작은 팀의 통합 부담이 커진다. SurfX Connect는 이 기능들을 공통 인터페이스로 제공하는 것을 목표로 한다. 개발자는 자신이 잘 만드는 게임과 앱에 집중하고, 생태계 연동은 문서화된 규칙을 따라 구현할 수 있게 한다.</w:t>
      </w:r>
    </w:p>
    <w:p>
      <w:pPr>
        <w:pStyle w:val="Heading2"/>
      </w:pPr>
      <w:r>
        <w:t>블록체인만으로 해결되지 않는 문제</w:t>
      </w:r>
    </w:p>
    <w:p>
      <w:r>
        <w:t>블록체인은 확정된 토큰 거래와 계약 상태를 확인하는 데 도움을 주지만, 게임 점수가 정당한지, 광고 참여가 실제 사람의 행동인지, 콘텐츠 저작권이 적법한지 자동으로 판단하지 않는다. SurfX는 서버 검증, 부정사용 탐지, 분쟁 처리와 개인정보 보호를 별도의 운영 책임으로 둔다.</w:t>
      </w:r>
    </w:p>
    <w:p>
      <w:bookmarkStart w:id="6" w:name="section_6"/>
      <w:pPr>
        <w:pStyle w:val="Heading1"/>
      </w:pPr>
      <w:r>
        <w:t>06 SurfX 토큰이 필요한 이유</w:t>
      </w:r>
      <w:bookmarkEnd w:id="6"/>
    </w:p>
    <w:p>
      <w:r>
        <w:t>하나의 운영자가 단일 앱에서 포인트를 지급하는 기능은 일반 데이터베이스로도 구현할 수 있다. SurfX가 토큰을 사용하는 이유는 독립적인 서비스, 이용자 지갑, 창작자와 파트너가 공통 자산을 기준으로 거래·보상·정산 내역을 확인할 수 있게 하기 위해서다. 외부 서비스 연결과 자산 이전 수요가 없다면 초기 포인트만으로도 충분하므로, 토큰 발행은 실제 연결 수요를 확인한 뒤 진행한다.</w:t>
      </w:r>
    </w:p>
    <w:p>
      <w:pPr>
        <w:pStyle w:val="Heading2"/>
      </w:pPr>
      <w:r>
        <w:t>여러 서비스에서 공유하는 이용 수단</w:t>
      </w:r>
    </w:p>
    <w:p>
      <w:r>
        <w:t>SURFX는 지원 게임의 디지털 상품, 유틸리티 앱의 사용량, 창작물과 서비스 이용권에 공통으로 사용할 수 있는 결제 단위를 제공한다. 개발사는 각자의 상품과 경제 구조를 유지하면서도 동일한 토큰과 결제 규격을 받아들일 수 있다.</w:t>
      </w:r>
    </w:p>
    <w:p>
      <w:pPr>
        <w:pStyle w:val="Heading2"/>
      </w:pPr>
      <w:r>
        <w:t>서로 다른 참여자를 연결하는 정산 자산</w:t>
      </w:r>
    </w:p>
    <w:p>
      <w:r>
        <w:t>이용자가 지불한 SURFX를 서비스 제공자와 창작자에게 정산하면 거래 대가가 누구에게 어떻게 배분되는지 기록할 수 있다. 캠페인 예산도 사전에 지정한 지급 규칙에 따라 집행하고, 집행 결과를 공개할 수 있다. 오프체인 검증 결과의 정확성은 운영 절차와 감사 체계가 보완한다.</w:t>
      </w:r>
    </w:p>
    <w:p>
      <w:pPr>
        <w:pStyle w:val="Heading2"/>
      </w:pPr>
      <w:r>
        <w:t>통합 보상과 생태계 참여</w:t>
      </w:r>
    </w:p>
    <w:p>
      <w:r>
        <w:t>적법하고 허용된 활동에 대해 사전에 확보한 예산 범위에서 SURFX 보상을 제공할 수 있다. 장기적으로는 콘텐츠 제안, 개발자 지원과 커뮤니티 예산에 대한 참여 기능을 검토한다. 토큰 보유는 회사 지분, 배당청구권 또는 확정 수익을 자동으로 부여하지 않는다.</w:t>
      </w:r>
    </w:p>
    <w:p>
      <w:r>
        <w:t>법정통화와 적법한 일반 결제수단은 사용자 접근성과 가격 예측을 위해 함께 검토한다. 모든 이용자에게 토큰 구매를 강제하기보다, 공용 토큰을 선택했을 때 여러 서비스에서 일관된 이용 경험과 정산 기능을 제공하는 것이 채택의 근거가 된다.</w:t>
      </w:r>
    </w:p>
    <w:p>
      <w:bookmarkStart w:id="8" w:name="section_8"/>
      <w:pPr>
        <w:pStyle w:val="Heading1"/>
      </w:pPr>
      <w:r>
        <w:t>07 기반 체인 선정</w:t>
      </w:r>
      <w:bookmarkEnd w:id="8"/>
    </w:p>
    <w:p>
      <w:r>
        <w:t>SurfX는 BNB Smart Chain을 사용한다. SURFX는 해당 체인에서 발행하는 BEP-20 토큰으로 설계한다. Solidity 기반 개발 도구를 활용하고 하나의 원본 토큰으로 운영해 공급량 관리를 단순화한다. [1][2]</w:t>
      </w:r>
    </w:p>
    <w:p>
      <w:r>
        <w:t>BNB Smart Chain 사용은 해당 네트워크 운영 주체와의 제휴를 뜻하지 않는다. 출시 전에 목표 거래량, 지갑 지원, 실제 가스비, 장애 대응, 배포 국가와 실제 계약된 개발·검토 인력의 역량을 확인한다.</w:t>
      </w:r>
    </w:p>
    <w:p>
      <w:r>
        <w:t>BNB Smart Chain의 실제 네트워크 수수료는 BNB로 지불한다. 지원되는 거래에는 운영자 또는 파트너가 수수료를 대납하도록 설계할 수 있다. 공식 EOA Paymaster의 적용 조건을 검토하며, 대납은 비용의 면제가 아니라 비용 부담 주체의 변경이다. [3]</w:t>
      </w:r>
    </w:p>
    <w:p>
      <w:bookmarkStart w:id="9" w:name="section_9"/>
      <w:pPr>
        <w:pStyle w:val="Heading1"/>
      </w:pPr>
      <w:r>
        <w:t>08 출시 서비스와 생태계 구성</w:t>
      </w:r>
      <w:bookmarkEnd w:id="9"/>
    </w:p>
    <w:p>
      <w:r>
        <w:t>개별 출시 서비스의 명칭, 기능, 순서와 상세 일정은 현재 정리 중이다. 아래 SurfX Hub, Games, Tools, Trading, Market, Connect와 Wave Pass는 생태계의 기능 구분과 확장 방향을 설명하는 가칭이며, 확정된 출시 목록이나 이미 운영 중인 서비스가 아니다.</w:t>
      </w:r>
    </w:p>
    <w:p>
      <w:pPr>
        <w:pStyle w:val="Heading2"/>
      </w:pPr>
      <w:r>
        <w:t>SurfX Hub</w:t>
      </w:r>
    </w:p>
    <w:p>
      <w:r>
        <w:t>게임과 앱, 보유 자산, 이용권과 참여 내역을 모아 보여주는 공통 진입점이다. 하나의 계정에서 지원 서비스를 탐색하고 토큰 사용 가능 여부, 잔액, 거래 상태와 적용 조건을 확인할 수 있게 한다. 메뉴에 서비스를 모으는 데 그치지 않고 계정·상품·정산 규칙을 실제로 연결한다.</w:t>
      </w:r>
    </w:p>
    <w:p>
      <w:pPr>
        <w:pStyle w:val="Heading2"/>
      </w:pPr>
      <w:r>
        <w:t>SurfX Games</w:t>
      </w:r>
    </w:p>
    <w:p>
      <w:r>
        <w:t>서핑과 파도 콘셉트의 캐주얼 게임을 시작점으로 퍼즐, 러너와 가벼운 소셜 게임을 검토한다. 기본 재미와 반복 플레이를 우선하고, 지원 시장에서는 스킨, 캐릭터 꾸미기, 시즌 콘텐츠와 정해진 이용권에 공용 결제 규격을 적용한다. 경쟁 점수와 게임 진행에 필요한 핵심 재화는 게임별 정책으로 유지한다.</w:t>
      </w:r>
    </w:p>
    <w:p>
      <w:r>
        <w:t>보상은 콘텐츠를 즐기거나 기여하는 이유를 보완하는 기능이다. 유료 아이템을 구입하면 더 많은 환금성 보상을 확정적으로 받는 구조, 확률형 토큰 배당과 토큰을 건 승부는 기본 제품 범위에서 제외한다. 게임 보상과 토큰 전환은 해당 지역의 법률과 배포 정책을 충족한 서비스에 한해 검토한다.</w:t>
      </w:r>
    </w:p>
    <w:p>
      <w:pPr>
        <w:pStyle w:val="Heading2"/>
      </w:pPr>
      <w:r>
        <w:t>SurfX Tools</w:t>
      </w:r>
    </w:p>
    <w:p>
      <w:r>
        <w:t>사진·영상 편집, 이미지 변환, 파일 변환, 생산성 도구와 AI 보조 기능처럼 실제 작업을 돕는 유틸리티 앱을 연결한다. 지원되는 서비스에서는 프리미엄 템플릿, 고해상도 출력, 처리량과 저장공간 등 구체적인 사용량이나 이용권에 SURFX를 사용할 수 있게 한다. 서비스 제공 비용과 사용 한도는 상품별로 공개한다.</w:t>
      </w:r>
    </w:p>
    <w:p>
      <w:pPr>
        <w:pStyle w:val="Heading2"/>
      </w:pPr>
      <w:r>
        <w:t>SurfX Market</w:t>
      </w:r>
    </w:p>
    <w:p>
      <w:r>
        <w:t>창작자가 제작한 템플릿, 게임 스킨, 스티커와 디지털 콘텐츠를 판매하는 공간을 제안한다. 판매 대가와 플랫폼 수수료, 환불 조건을 명시하고 창작자에게 정산한다. NFT가 필요한 콘텐츠는 소유권 기록과 이용 허락의 범위를 별도로 정의하며, 일반 디지털 상품까지 모두 NFT로 만들 필요는 없다.</w:t>
      </w:r>
    </w:p>
    <w:p>
      <w:pPr>
        <w:pStyle w:val="Heading2"/>
      </w:pPr>
      <w:r>
        <w:t>SurfX Connect</w:t>
      </w:r>
    </w:p>
    <w:p>
      <w:r>
        <w:t>외부 개발자를 위한 계정 연동, 지갑 연결, 결제 견적, 보상 검증, 이용권 확인과 정산 인터페이스를 제공한다. 참여 서비스는 등록·심사와 정산 계약을 거친다. 공용 토큰을 받는다는 사실만으로 다른 앱의 저작물, 아이템 성능이나 서버 접근 권한을 자동으로 사용할 수 있는 것은 아니다.</w:t>
      </w:r>
    </w:p>
    <w:p>
      <w:pPr>
        <w:pStyle w:val="Heading2"/>
      </w:pPr>
      <w:r>
        <w:t>Wave Pass</w:t>
      </w:r>
    </w:p>
    <w:p>
      <w:r>
        <w:t>여러 연동 서비스의 혜택을 묶은 선택형 이용권을 제안한다. 예를 들어 특정 도구의 월간 사용량과 지정 콘텐츠의 이용 혜택을 결합할 수 있다. 상품에 포함된 서비스, 기간, 지역, 이용량과 종료 시 처리 방식을 사전에 공지하며, 무제한 서비스나 모든 미래 콘텐츠에 대한 영구 권리를 약속하지 않는다.</w:t>
      </w:r>
    </w:p>
    <w:p>
      <w:pPr>
        <w:pStyle w:val="Heading2"/>
      </w:pPr>
      <w:r>
        <w:t>SurfX Trading</w:t>
      </w:r>
    </w:p>
    <w:p>
      <w:r>
        <w:t>사용자가 직접 만든 주식·코인 매매 조건을 입력하고 검증한 뒤 자동 실행할 수 있도록 시스템을 제공하는 금융 유틸리티 영역이다. SurfX는 조건 설정, 백테스트, 모의매매와 사용자 명의 계정의 API 주문 실행 도구를 제공한다. SURFX는 시스템 이용료와 연산량·자동화 도구 이용료에 활용하며, 실제 거래 원금은 이용자 명의의 외부 증권사·거래소 계정에서 관리한다. 실제 지원 시장·제공사와 주문 기능은 계약·정책·기술 검증을 거쳐 공개한다.</w:t>
      </w:r>
    </w:p>
    <w:p>
      <w:r>
        <w:t>출시 서비스 목록에는 서비스명, 제공 기능, 지원 국가와 배포 채널, SURFX 사용 가능 상품, 필요한 토큰 수량 또는 견적 방식, 무료·유료 재화 구분, 환불과 종료 조건을 기재한다. 목록과 이용 조건이 공개되기 전에는 개별 기능을 구매 가능한 확정 상품으로 취급하지 않는다.</w:t>
      </w:r>
    </w:p>
    <w:p>
      <w:bookmarkStart w:id="10" w:name="section_10"/>
      <w:pPr>
        <w:pStyle w:val="Heading1"/>
      </w:pPr>
      <w:r>
        <w:t>09 주식과 코인 시스템 트레이딩</w:t>
      </w:r>
      <w:bookmarkEnd w:id="10"/>
    </w:p>
    <w:p>
      <w:r>
        <w:t>SurfX Trading은 사용자가 직접 만든 매매 조건에 따라 주식·코인 거래를 자동 실행할 수 있도록 시스템만 제공한다. 사용자가 거래 대상, 매수·매도 조건, 주문 수량, 실행 시간과 중단 조건을 직접 설정하고 자동 실행을 승인한다. 시스템은 승인된 조건의 충족 여부를 확인해 사용자 명의의 증권사·거래소 계정으로 주문을 전송하고 실행 상태를 기록한다. 매매 조건과 투자 판단은 사용자가 정하며, SurfX는 투자 전략의 제공·추천이나 사용자 대신의 재량적 매매 판단을 수행하지 않는다. 개별 서비스와 연결 제공사는 아직 확정되지 않았으며 본 장은 개발·운영 기준안이다.</w:t>
      </w:r>
    </w:p>
    <w:p>
      <w:pPr>
        <w:pStyle w:val="Heading2"/>
      </w:pPr>
      <w:r>
        <w:t>분석에서 자동주문까지의 단계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512"/>
        <w:gridCol w:w="4104"/>
        <w:gridCol w:w="3888"/>
      </w:tblGrid>
      <w:tr>
        <w:trPr>
          <w:cantSplit/>
          <w:tblHeader/>
        </w:trPr>
        <w:tc>
          <w:tcPr>
            <w:tcW w:type="dxa" w:w="1512"/>
            <w:vAlign w:val="center"/>
            <w:shd w:fill="173E51"/>
          </w:tcPr>
          <w:p>
            <w:pPr>
              <w:keepNext/>
              <w:widowControl/>
              <w:spacing w:after="0" w:before="0" w:line="300" w:lineRule="exact"/>
              <w:jc w:val="center"/>
            </w:pPr>
            <w:r>
              <w:rPr>
                <w:rFonts w:ascii="Noto Sans CJK KR" w:hAnsi="Noto Sans CJK KR" w:eastAsia="Noto Sans CJK KR"/>
                <w:b/>
                <w:color w:val="FFFFFF"/>
                <w:sz w:val="20"/>
              </w:rPr>
              <w:t>기능 영역</w:t>
            </w:r>
          </w:p>
        </w:tc>
        <w:tc>
          <w:tcPr>
            <w:tcW w:type="dxa" w:w="4104"/>
            <w:vAlign w:val="center"/>
            <w:shd w:fill="173E51"/>
          </w:tcPr>
          <w:p>
            <w:pPr>
              <w:keepNext/>
              <w:widowControl/>
              <w:spacing w:after="0" w:before="0" w:line="300" w:lineRule="exact"/>
              <w:jc w:val="center"/>
            </w:pPr>
            <w:r>
              <w:rPr>
                <w:rFonts w:ascii="Noto Sans CJK KR" w:hAnsi="Noto Sans CJK KR" w:eastAsia="Noto Sans CJK KR"/>
                <w:b/>
                <w:color w:val="FFFFFF"/>
                <w:sz w:val="20"/>
              </w:rPr>
              <w:t>주요 기능</w:t>
            </w:r>
          </w:p>
        </w:tc>
        <w:tc>
          <w:tcPr>
            <w:tcW w:type="dxa" w:w="3888"/>
            <w:vAlign w:val="center"/>
            <w:shd w:fill="173E51"/>
          </w:tcPr>
          <w:p>
            <w:pPr>
              <w:keepNext/>
              <w:widowControl/>
              <w:spacing w:after="0" w:before="0" w:line="300" w:lineRule="exact"/>
              <w:jc w:val="center"/>
            </w:pPr>
            <w:r>
              <w:rPr>
                <w:rFonts w:ascii="Noto Sans CJK KR" w:hAnsi="Noto Sans CJK KR" w:eastAsia="Noto Sans CJK KR"/>
                <w:b/>
                <w:color w:val="FFFFFF"/>
                <w:sz w:val="20"/>
              </w:rPr>
              <w:t>제공 조건</w:t>
            </w:r>
          </w:p>
        </w:tc>
      </w:tr>
      <w:tr>
        <w:trPr>
          <w:cantSplit/>
        </w:trPr>
        <w:tc>
          <w:tcPr>
            <w:tcW w:type="dxa" w:w="15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시장 분석</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종목·거래쌍의 시세, 차트, 지표와 조건 알림</w:t>
            </w:r>
          </w:p>
        </w:tc>
        <w:tc>
          <w:tcPr>
            <w:tcW w:type="dxa" w:w="38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정당한 데이터 이용·표출 권한과 갱신 상태 확인</w:t>
            </w:r>
          </w:p>
        </w:tc>
      </w:tr>
      <w:tr>
        <w:trPr>
          <w:cantSplit/>
        </w:trPr>
        <w:tc>
          <w:tcPr>
            <w:tcW w:type="dxa" w:w="15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사용자 조건 설정</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사용자가 직접 매매 조건, 대상 종목, 주문 크기, 시간과 위험 한도 설정</w:t>
            </w:r>
          </w:p>
        </w:tc>
        <w:tc>
          <w:tcPr>
            <w:tcW w:type="dxa" w:w="38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사용자가 규칙과 한도를 검토·저장</w:t>
            </w:r>
          </w:p>
        </w:tc>
      </w:tr>
      <w:tr>
        <w:trPr>
          <w:cantSplit/>
        </w:trPr>
        <w:tc>
          <w:tcPr>
            <w:tcW w:type="dxa" w:w="15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백테스트</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과거 데이터로 전략 실행 결과와 손실·거래 비용 분석</w:t>
            </w:r>
          </w:p>
        </w:tc>
        <w:tc>
          <w:tcPr>
            <w:tcW w:type="dxa" w:w="38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데이터 기간·출처·가정과 검증 범위 표시</w:t>
            </w:r>
          </w:p>
        </w:tc>
      </w:tr>
      <w:tr>
        <w:trPr>
          <w:cantSplit/>
        </w:trPr>
        <w:tc>
          <w:tcPr>
            <w:tcW w:type="dxa" w:w="15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모의매매</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실제 자금 없이 신호·주문 상태와 전략 운용 점검</w:t>
            </w:r>
          </w:p>
        </w:tc>
        <w:tc>
          <w:tcPr>
            <w:tcW w:type="dxa" w:w="38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실거래와 별도 계정·키·환경 사용</w:t>
            </w:r>
          </w:p>
        </w:tc>
      </w:tr>
      <w:tr>
        <w:trPr>
          <w:cantSplit/>
        </w:trPr>
        <w:tc>
          <w:tcPr>
            <w:tcW w:type="dxa" w:w="15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실주문 자동화</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사용자 명의 계정의 승인된 API로 주문·취소·체결 조회</w:t>
            </w:r>
          </w:p>
        </w:tc>
        <w:tc>
          <w:tcPr>
            <w:tcW w:type="dxa" w:w="38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제공사 약관·지원 국가·보안·주문 통제 충족</w:t>
            </w:r>
          </w:p>
        </w:tc>
      </w:tr>
    </w:tbl>
    <w:p>
      <w:pPr>
        <w:spacing w:after="0" w:before="0" w:line="240" w:lineRule="auto"/>
      </w:pPr>
      <w:r>
        <w:rPr>
          <w:sz w:val="8"/>
        </w:rPr>
      </w:r>
    </w:p>
    <w:p>
      <w:r>
        <w:t>초기 상품 범위는 사용자가 만든 현물 주식·코인 매매 조건의 검증과 자동 실행을 우선 검토한다. 마진, 레버리지, 공매도와 파생상품은 별도 조건과 검증 없이 기본 기능에 포함하지 않는다. 조건 설정 도구는 사용자가 매수·매도 규칙과 위험 한도를 직접 구성하는 기능으로 제공하며, 수익을 확정적으로 설명하지 않는다.</w:t>
      </w:r>
    </w:p>
    <w:p>
      <w:r>
        <w:t>분석 기능으로 시작해 백테스트와 모의매매를 통과한 뒤 실주문을 선택하도록 설계한다. 실주문 활성화에는 대상 계정, 종목, 전략 버전, 최대 주문금액, 총노출과 중단 조건을 표시하고 사용자의 명시적 승인을 받는다. 모의매매에서 실거래로 자동 전환하거나 운영자가 사용자 승인 없이 실거래 전략을 바꾸지 않는다.</w:t>
      </w:r>
    </w:p>
    <w:p>
      <w:pPr>
        <w:pStyle w:val="Heading2"/>
      </w:pPr>
      <w:r>
        <w:t>SURFX의 사용처와 매매 원금의 구분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76"/>
        <w:gridCol w:w="7128"/>
      </w:tblGrid>
      <w:tr>
        <w:trPr>
          <w:cantSplit/>
          <w:tblHeader/>
        </w:trPr>
        <w:tc>
          <w:tcPr>
            <w:tcW w:type="dxa" w:w="2376"/>
            <w:vAlign w:val="center"/>
            <w:shd w:fill="173E51"/>
          </w:tcPr>
          <w:p>
            <w:pPr>
              <w:keepNext/>
              <w:widowControl/>
              <w:spacing w:after="0" w:before="0" w:line="300" w:lineRule="exact"/>
              <w:jc w:val="center"/>
            </w:pPr>
            <w:r>
              <w:rPr>
                <w:rFonts w:ascii="Noto Sans CJK KR" w:hAnsi="Noto Sans CJK KR" w:eastAsia="Noto Sans CJK KR"/>
                <w:b/>
                <w:color w:val="FFFFFF"/>
                <w:sz w:val="20"/>
              </w:rPr>
              <w:t>SURFX 사용 항목</w:t>
            </w:r>
          </w:p>
        </w:tc>
        <w:tc>
          <w:tcPr>
            <w:tcW w:type="dxa" w:w="7128"/>
            <w:vAlign w:val="center"/>
            <w:shd w:fill="173E51"/>
          </w:tcPr>
          <w:p>
            <w:pPr>
              <w:keepNext/>
              <w:widowControl/>
              <w:spacing w:after="0" w:before="0" w:line="300" w:lineRule="exact"/>
              <w:jc w:val="center"/>
            </w:pPr>
            <w:r>
              <w:rPr>
                <w:rFonts w:ascii="Noto Sans CJK KR" w:hAnsi="Noto Sans CJK KR" w:eastAsia="Noto Sans CJK KR"/>
                <w:b/>
                <w:color w:val="FFFFFF"/>
                <w:sz w:val="20"/>
              </w:rPr>
              <w:t>이용권의 범위</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분석 도구 구독</w:t>
            </w:r>
          </w:p>
        </w:tc>
        <w:tc>
          <w:tcPr>
            <w:tcW w:type="dxa" w:w="71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지정된 분석 화면, 조건식과 보고서 기능의 기간 이용</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백테스트 처리량</w:t>
            </w:r>
          </w:p>
        </w:tc>
        <w:tc>
          <w:tcPr>
            <w:tcW w:type="dxa" w:w="71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공개된 데이터 범위와 연산 횟수·시간 또는 실행 작업량</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매매 조건 설정 도구</w:t>
            </w:r>
          </w:p>
        </w:tc>
        <w:tc>
          <w:tcPr>
            <w:tcW w:type="dxa" w:w="71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사용자 매매 조건의 작성·저장·편집 기능 사용 권한</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모의매매와 알림</w:t>
            </w:r>
          </w:p>
        </w:tc>
        <w:tc>
          <w:tcPr>
            <w:tcW w:type="dxa" w:w="71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지원 전략 수, 알림 조건과 시뮬레이션 작업의 이용 한도</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자동주문 도구</w:t>
            </w:r>
          </w:p>
        </w:tc>
        <w:tc>
          <w:tcPr>
            <w:tcW w:type="dxa" w:w="71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승인된 계정·전략과 실행 시간 범위의 소프트웨어 이용</w:t>
            </w:r>
          </w:p>
        </w:tc>
      </w:tr>
    </w:tbl>
    <w:p>
      <w:pPr>
        <w:spacing w:after="0" w:before="0" w:line="240" w:lineRule="auto"/>
      </w:pPr>
      <w:r>
        <w:rPr>
          <w:sz w:val="8"/>
        </w:rPr>
      </w:r>
    </w:p>
    <w:p>
      <w:r>
        <w:t>SURFX는 도구와 기능을 이용하는 대가로 사용하며, 주식·코인 매매 원금, 투자 수익 배당, 손실 보전 또는 공동 투자 지분으로 사용하지 않는다. 이용자의 실제 매매 자금과 자산은 본인 명의의 외부 증권사·거래소 계정에서 관리하고 SurfX의 보상·운영 재무고와 합산하지 않는다. 토큰 보유나 도구 이용료 지급이 수익 또는 특정 체결을 보장하지 않는다.</w:t>
      </w:r>
    </w:p>
    <w:p>
      <w:r>
        <w:t>BSC는 SURFX 결제와 토큰 정산의 기반이다. 주식 주문은 지원 증권사와 거래 시장에서, 코인 주문은 지원 거래소에서 처리되며 주문마다 BSC에 기록하는 구조를 전제하지 않는다. 거래 원금을 SurfX가 보관하지 않는 설계라도 API 주문 권한의 보안과 제공 형태에 대한 책임·규제 검토는 별도로 필요하다.</w:t>
      </w:r>
    </w:p>
    <w:p>
      <w:r>
        <w:t>초기 요금은 기간제 또는 사용량 기반 도구 이용료로 구성하고, 투자 수익률·거래 대금에 비례한 성과보수는 기본안에 포함하지 않는다. 외부 데이터 이용료, 증권사·거래소 수수료와 세금 등은 SurfX 서비스 요금과 구분해 안내한다. 게임 보상·Wave Points를 실거래 금액이나 투자 수익률에 연동해 지급하는 구조도 기본안에 포함하지 않는다.</w:t>
      </w:r>
    </w:p>
    <w:p>
      <w:pPr>
        <w:pStyle w:val="Heading2"/>
      </w:pPr>
      <w:r>
        <w:t>백테스트와 성과 표시 원칙</w:t>
      </w:r>
    </w:p>
    <w:p>
      <w:r>
        <w:t>백테스트에는 데이터 출처·기간·빈도, 매매 비용, 스프레드, 슬리피지와 체결 가정을 표시한다. 주식의 분할·배당·상장폐지와 거래정지, 코인의 거래쌍 변경과 데이터 누락 등 결과에 영향을 주는 처리 기준을 기록한다. 미래 정보가 과거 판단에 섞이는 오류와 유리한 종목만 남기는 편향을 점검하고, 전략 조정에 사용하지 않은 기간을 별도로 검증한다.</w:t>
      </w:r>
    </w:p>
    <w:p>
      <w:r>
        <w:t>성과 화면은 수익률뿐 아니라 최대 낙폭, 변동성, 거래 수, 회전율과 비용 반영 여부를 함께 표시한다. 백테스트·모의매매·실거래 결과를 명확히 구분하고 검증 기간과 전략 버전을 유지한다. 모의체결은 실제 체결을 대신하지 못하며, Alpaca 공식 문서도 시장 충격·지연에 따른 슬리피지·주문 대기 순서 등 차이를 설명한다. [11]</w:t>
      </w:r>
    </w:p>
    <w:p>
      <w:pPr>
        <w:pStyle w:val="Heading2"/>
      </w:pPr>
      <w:r>
        <w:t>자동주문과 위험 통제</w:t>
      </w:r>
    </w:p>
    <w:p>
      <w:r>
        <w:t>조회 전용 연결을 기본으로 시작하고 실주문은 별도 승인 후 최소 권한으로 활성화한다. 출금·이체 권한을 요청하거나 사용하지 않으며, 제공사가 지원하는 경우 조회와 주문 권한, IP 제한을 분리한다. 안전한 권한 범위를 구성할 수 없으면 해당 연동의 실주문 기능을 공개하지 않는다. 출금 권한이 없어도 잘못된 주문으로 매매 손실이 발생할 수 있으므로 주문 자체의 위험 한도를 적용한다.</w:t>
      </w:r>
    </w:p>
    <w:p>
      <w:r>
        <w:t>실행 전 종목·거래쌍 허용 목록, 주문금액·수량, 계좌별 합산 노출, 빈도, 가격 이탈과 잔액을 확인한다. 여러 전략이 같은 계정을 이용하면 계좌 전체의 예약 주문과 노출을 함께 집계한다. 시세 지연, 거래정지, 휴장, 호출 한도 초과와 연결 장애에서는 신규 주문을 중단하고 기존 상태부터 확인한다. 손실 중단 기준은 실행 규칙이며 급격한 시장 변동에서 손실 상한이나 체결 가격을 보장하지 않는다.</w:t>
      </w:r>
    </w:p>
    <w:p>
      <w:r>
        <w:t>주문에는 고유 식별자를 부여하고 접수·부분체결·완료·취소·미확인 상태를 추적한다. API 타임아웃이나 응답 누락을 곧바로 실패로 간주해 재주문하지 않는다. 거래소·증권사의 주문·체결·잔고를 조회해 대사한 뒤 재시도 여부를 결정한다. Binance 공식 문서 역시 타임아웃에서 실행 상태가 불명확할 수 있으므로 별도 상태 조회를 요구한다. [12]</w:t>
      </w:r>
    </w:p>
    <w:p>
      <w:r>
        <w:t>중지 기능은 신규 주문 차단, 미체결 주문 취소 요청과 보유 포지션 청산을 구분한다. 취소 요청은 취소 완료를 의미하지 않으며, 취소 중 체결된 물량도 확인한다. 포지션 청산은 사용자가 사전에 승인한 규칙이나 별도 명시 승인에 따라 처리한다. 장애 후에는 미확정 주문과 잔고의 일치를 확인하고 승인된 복구 정책에 따라 재개한다.</w:t>
      </w:r>
    </w:p>
    <w:p>
      <w:r>
        <w:t>구독 만료나 SURFX 잔액 부족 시 신규 전략 실행·신규 진입을 중단하고 안내한다. 기존 미체결 주문과 포지션의 처리 방식은 활성화 전에 정한다. 단순한 요금 미납을 이유로 기존 자산을 임의 청산하지 않으며, 사용자가 외부 증권사·거래소에서 직접 주문을 관리하고 연결 권한을 철회할 수 있도록 안내한다.</w:t>
      </w:r>
    </w:p>
    <w:p>
      <w:pPr>
        <w:pStyle w:val="Heading2"/>
      </w:pPr>
      <w:r>
        <w:t>API 보안과 글로벌 제공 조건</w:t>
      </w:r>
    </w:p>
    <w:p>
      <w:r>
        <w:t>API 키와 계좌 식별정보는 텔레그램·왓츠앱·이메일로 접수하지 않는다. 제공사 승인 인증 흐름이나 검증된 보안 입력 경로를 사용하고, 사용자 측 보관 또는 격리된 암호화 저장 방식을 검토한다. 서비스 요금 결제용 지갑 키와 매매 API 키를 분리하고, 비밀값을 로그·전략 파일·공개 체인에 기록하지 않는다. 사용자가 입력하거나 불러온 매매 조건과 코드는 실행 권한을 제한하고 악성 코드·임의 네트워크 접근을 검증한다.</w:t>
      </w:r>
    </w:p>
    <w:p>
      <w:r>
        <w:t>공개 API가 존재한다는 이유만으로 고객 대상 서비스 연동과 시세 재배포가 허용된다고 가정하지 않는다. 한국투자증권 공식 안내는 본인 자산용 API와 제3자 대상 제휴 서비스를 구분하며 시세정보 이용·표출 계약과 제휴 조건을 명시한다. 해당 문서는 기술 참고 자료이며 SurfX가 한국투자증권 또는 다른 제공사와 연동·제휴했다는 의미가 아니다. [9][10]</w:t>
      </w:r>
    </w:p>
    <w:p>
      <w:r>
        <w:t>실주문 기능의 출시 전에는 대상 국가별 자문·일임·주문 중개 등 해당 여부와 API 제공사 조건을 검토한다. 자동화 또는 비수탁이라는 명칭만으로 규제 적용이 면제되는 것으로 설명하지 않는다. 미국 SEC의 투자자 안내도 자동화된 자문 서비스에 적용되는 등록·법규 준수를 설명한다. 분석·검증·모의 기능에도 데이터 이용과 제공 조건을 확인하고, 조건을 충족한 기능만 해당 지역에서 제공한다. [13]</w:t>
      </w:r>
    </w:p>
    <w:p>
      <w:r>
        <w:t>주문 상태 감시와 비상 중단을 자동화하고, 자동 감시와 사람의 상시 대응을 구분해 안내한다. 실주문 기능은 상태 조회·중복 방지·권한 철회·장애 중단·복구 대사가 검증된 범위에서 제한적으로 공개한다. 실거래 성과나 위험 모니터링이 실제로 운영되기 전에는 검증 완료·24시간 인력 대응·무중단 운영을 주장하지 않는다.</w:t>
      </w:r>
    </w:p>
    <w:p>
      <w:bookmarkStart w:id="11" w:name="section_11"/>
      <w:pPr>
        <w:pStyle w:val="Heading1"/>
      </w:pPr>
      <w:r>
        <w:t>10 공용 토큰의 사용처</w:t>
      </w:r>
      <w:bookmarkEnd w:id="1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584"/>
        <w:gridCol w:w="4176"/>
        <w:gridCol w:w="3744"/>
      </w:tblGrid>
      <w:tr>
        <w:trPr>
          <w:cantSplit/>
          <w:tblHeader/>
        </w:trPr>
        <w:tc>
          <w:tcPr>
            <w:tcW w:type="dxa" w:w="1584"/>
            <w:vAlign w:val="center"/>
            <w:shd w:fill="173E51"/>
          </w:tcPr>
          <w:p>
            <w:pPr>
              <w:keepNext/>
              <w:widowControl/>
              <w:spacing w:after="0" w:before="0" w:line="300" w:lineRule="exact"/>
              <w:jc w:val="center"/>
            </w:pPr>
            <w:r>
              <w:rPr>
                <w:rFonts w:ascii="Noto Sans CJK KR" w:hAnsi="Noto Sans CJK KR" w:eastAsia="Noto Sans CJK KR"/>
                <w:b/>
                <w:color w:val="FFFFFF"/>
                <w:sz w:val="20"/>
              </w:rPr>
              <w:t>사용 영역</w:t>
            </w:r>
          </w:p>
        </w:tc>
        <w:tc>
          <w:tcPr>
            <w:tcW w:type="dxa" w:w="4176"/>
            <w:vAlign w:val="center"/>
            <w:shd w:fill="173E51"/>
          </w:tcPr>
          <w:p>
            <w:pPr>
              <w:keepNext/>
              <w:widowControl/>
              <w:spacing w:after="0" w:before="0" w:line="300" w:lineRule="exact"/>
              <w:jc w:val="center"/>
            </w:pPr>
            <w:r>
              <w:rPr>
                <w:rFonts w:ascii="Noto Sans CJK KR" w:hAnsi="Noto Sans CJK KR" w:eastAsia="Noto Sans CJK KR"/>
                <w:b/>
                <w:color w:val="FFFFFF"/>
                <w:sz w:val="20"/>
              </w:rPr>
              <w:t>제안하는 이용 방식</w:t>
            </w:r>
          </w:p>
        </w:tc>
        <w:tc>
          <w:tcPr>
            <w:tcW w:type="dxa" w:w="3744"/>
            <w:vAlign w:val="center"/>
            <w:shd w:fill="173E51"/>
          </w:tcPr>
          <w:p>
            <w:pPr>
              <w:keepNext/>
              <w:widowControl/>
              <w:spacing w:after="0" w:before="0" w:line="300" w:lineRule="exact"/>
              <w:jc w:val="center"/>
            </w:pPr>
            <w:r>
              <w:rPr>
                <w:rFonts w:ascii="Noto Sans CJK KR" w:hAnsi="Noto Sans CJK KR" w:eastAsia="Noto Sans CJK KR"/>
                <w:b/>
                <w:color w:val="FFFFFF"/>
                <w:sz w:val="20"/>
              </w:rPr>
              <w:t>설계 조건</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 콘텐츠</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게임의 꾸미기 아이템과 시즌 콘텐츠 이용권</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 균형, 배포 정책과 지역별 제한 반영</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유틸리티 앱</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템플릿, 출력, 변환 작업과 처리량 이용권</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상품 가격과 제공량을 명확히 표시</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주식·코인 트레이딩 도구</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분석 구독, 백테스트 연산, 조건 설정 도구 이용권과 승인된 주문 자동화 도구</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거래 원금과 분리. 실제 연결 제공사·국가·권한 조건 공개</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창작물 거래</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창작물 구매와 창작자 대금 정산</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이용 허락, 환불과 수수료 공개</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공통 멤버십</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Wave Pass의 지정 서비스 혜택 이용</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대상 앱과 기간, 사용 한도를 사전 명시</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보상 캠페인</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검증된 기여에 대한 사전 예산 내 지급</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지역·플랫폼 정책과 부정사용 검증 충족</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개발자와 파트너</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서비스 정산과 승인된 캠페인 예산 예치</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정산 계약, 지급 조건과 집행 내역 공개</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커뮤니티 참여</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후속 단계의 콘텐츠·지원 예산 의견 제출</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권한 범위, 표결과 집행 절차 별도 확정</w:t>
            </w:r>
          </w:p>
        </w:tc>
      </w:tr>
    </w:tbl>
    <w:p>
      <w:pPr>
        <w:spacing w:after="0" w:before="0" w:line="240" w:lineRule="auto"/>
      </w:pPr>
      <w:r>
        <w:rPr>
          <w:sz w:val="8"/>
        </w:rPr>
      </w:r>
    </w:p>
    <w:p>
      <w:r>
        <w:t>위 표는 개발할 수 있는 사용처의 범위를 나타낸다. 각 항목의 실제 제공 여부는 출시 공지와 상품 정책으로 확인할 수 있게 한다. 일반 결제와 함께 제공하는 경우 할인이나 혜택은 운영 재원 안에서 설정하며, SURFX를 사용한 모든 지출을 토큰 소각으로 표현하지 않는다.</w:t>
      </w:r>
    </w:p>
    <w:p>
      <w:r>
        <w:t>사업자가 받은 토큰은 매출 대가 또는 정산 자산이다. 창작자와 파트너는 운영비를 위해 이를 이전하거나 처분할 수 있으므로, 결제 거래가 늘어나는 것과 장기적인 보유 수요가 늘어나는 것은 별도로 측정한다.</w:t>
      </w:r>
    </w:p>
    <w:p>
      <w:bookmarkStart w:id="12" w:name="section_12"/>
      <w:pPr>
        <w:pStyle w:val="Heading1"/>
      </w:pPr>
      <w:r>
        <w:t>11 토큰의 일반 사용권과 보유자 권리</w:t>
      </w:r>
      <w:bookmarkEnd w:id="12"/>
    </w:p>
    <w:p>
      <w:r>
        <w:t>SURFX는 SurfX가 제공하거나 정식으로 연동하는 시스템과 콘텐츠의 공용 유틸리티 토큰으로 설계한다. 일반적인 사용 범위는 지원 상품 결제, 콘텐츠·기능 이용권 취득, 확정 보상 수령, 지갑 간 이전과 계약에 따른 서비스 정산이다. 토큰 사용의 구체적인 조건은 공개된 서비스별 상품 목록과 프로그램 정책에 따른다.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32"/>
        <w:gridCol w:w="7272"/>
      </w:tblGrid>
      <w:tr>
        <w:trPr>
          <w:cantSplit/>
          <w:tblHeader/>
        </w:trPr>
        <w:tc>
          <w:tcPr>
            <w:tcW w:type="dxa" w:w="2232"/>
            <w:vAlign w:val="center"/>
            <w:shd w:fill="173E51"/>
          </w:tcPr>
          <w:p>
            <w:pPr>
              <w:keepNext/>
              <w:widowControl/>
              <w:spacing w:after="0" w:before="0" w:line="300" w:lineRule="exact"/>
              <w:jc w:val="center"/>
            </w:pPr>
            <w:r>
              <w:rPr>
                <w:rFonts w:ascii="Noto Sans CJK KR" w:hAnsi="Noto Sans CJK KR" w:eastAsia="Noto Sans CJK KR"/>
                <w:b/>
                <w:color w:val="FFFFFF"/>
                <w:sz w:val="20"/>
              </w:rPr>
              <w:t>사용 범위</w:t>
            </w:r>
          </w:p>
        </w:tc>
        <w:tc>
          <w:tcPr>
            <w:tcW w:type="dxa" w:w="7272"/>
            <w:vAlign w:val="center"/>
            <w:shd w:fill="173E51"/>
          </w:tcPr>
          <w:p>
            <w:pPr>
              <w:keepNext/>
              <w:widowControl/>
              <w:spacing w:after="0" w:before="0" w:line="300" w:lineRule="exact"/>
              <w:jc w:val="center"/>
            </w:pPr>
            <w:r>
              <w:rPr>
                <w:rFonts w:ascii="Noto Sans CJK KR" w:hAnsi="Noto Sans CJK KR" w:eastAsia="Noto Sans CJK KR"/>
                <w:b/>
                <w:color w:val="FFFFFF"/>
                <w:sz w:val="20"/>
              </w:rPr>
              <w:t>권리와 적용 조건</w:t>
            </w:r>
          </w:p>
        </w:tc>
      </w:tr>
      <w:tr>
        <w:trPr>
          <w:cantSplit/>
        </w:trPr>
        <w:tc>
          <w:tcPr>
            <w:tcW w:type="dxa" w:w="223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보유와 이전</w:t>
            </w:r>
          </w:p>
        </w:tc>
        <w:tc>
          <w:tcPr>
            <w:tcW w:type="dxa" w:w="72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지갑에서 토큰을 보관하고 기술·법률상 허용되는 범위에서 이전한다. 네트워크 수수료는 별도다.</w:t>
            </w:r>
          </w:p>
        </w:tc>
      </w:tr>
      <w:tr>
        <w:trPr>
          <w:cantSplit/>
        </w:trPr>
        <w:tc>
          <w:tcPr>
            <w:tcW w:type="dxa" w:w="223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상품과 기능 이용</w:t>
            </w:r>
          </w:p>
        </w:tc>
        <w:tc>
          <w:tcPr>
            <w:tcW w:type="dxa" w:w="72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표시된 SURFX 수량을 지불해 해당 상품의 기간·사용량·콘텐츠 범위에 대한 이용권을 취득한다.</w:t>
            </w:r>
          </w:p>
        </w:tc>
      </w:tr>
      <w:tr>
        <w:trPr>
          <w:cantSplit/>
        </w:trPr>
        <w:tc>
          <w:tcPr>
            <w:tcW w:type="dxa" w:w="223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보상 수령</w:t>
            </w:r>
          </w:p>
        </w:tc>
        <w:tc>
          <w:tcPr>
            <w:tcW w:type="dxa" w:w="72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적격 프로그램의 조건을 충족하고 지급이 확정된 보상을 사전 확보된 재원에서 수령한다.</w:t>
            </w:r>
          </w:p>
        </w:tc>
      </w:tr>
      <w:tr>
        <w:trPr>
          <w:cantSplit/>
        </w:trPr>
        <w:tc>
          <w:tcPr>
            <w:tcW w:type="dxa" w:w="223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서비스 정산</w:t>
            </w:r>
          </w:p>
        </w:tc>
        <w:tc>
          <w:tcPr>
            <w:tcW w:type="dxa" w:w="72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개발자·창작자·파트너는 실제 체결한 계약에 따라 제공한 서비스의 대금을 정산받는다.</w:t>
            </w:r>
          </w:p>
        </w:tc>
      </w:tr>
      <w:tr>
        <w:trPr>
          <w:cantSplit/>
        </w:trPr>
        <w:tc>
          <w:tcPr>
            <w:tcW w:type="dxa" w:w="223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문의와 이의 제기</w:t>
            </w:r>
          </w:p>
        </w:tc>
        <w:tc>
          <w:tcPr>
            <w:tcW w:type="dxa" w:w="72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공개된 지원 창구에서 거래·이용권·보상 내역을 문의하고 오류·환불·지급 보류에 이의를 제기한다.</w:t>
            </w:r>
          </w:p>
        </w:tc>
      </w:tr>
    </w:tbl>
    <w:p>
      <w:pPr>
        <w:spacing w:after="0" w:before="0" w:line="240" w:lineRule="auto"/>
      </w:pPr>
      <w:r>
        <w:rPr>
          <w:sz w:val="8"/>
        </w:rPr>
      </w:r>
    </w:p>
    <w:p>
      <w:r>
        <w:t>주식·코인 시스템 트레이딩 영역에서는 지원되는 분석·백테스트·사용자 조건 설정·자동화 소프트웨어의 이용권을 취득할 수 있다. SURFX는 투자 자산의 매매 원금을 대신하지 않으며, 매매 성과와 관계없이 공개된 서비스 이용 조건에 따라 소비된다.</w:t>
      </w:r>
    </w:p>
    <w:p>
      <w:r>
        <w:t>토큰 보유 자체가 모든 서비스의 무료·무제한 이용이나 앞으로 출시될 콘텐츠의 영구 이용권을 부여하지는 않는다. 이용 권한은 해당 상품의 결제 또는 별도로 공지된 자격 조건을 충족했을 때 발생한다. 서비스의 기능, 기간, 처리량과 지역 조건은 상품별로 명시한다.</w:t>
      </w:r>
    </w:p>
    <w:p>
      <w:r>
        <w:t>Wave Points와 미확정 참여 점수는 SURFX와 구분한다. 포인트 적립만으로 고정 수량의 토큰이나 현금을 언제든 청구할 권리가 생기지 않으며, 실제 지급이 확정된 보상은 공지된 지급 조건에 따라 처리한다. 토큰과 이용권의 잔액, 확정 상태와 처리 이력은 구별해 표시한다.</w:t>
      </w:r>
    </w:p>
    <w:p>
      <w:r>
        <w:t>본 기준안은 SURFX에 기업의 지분, 배당, 채권, 사업 수익 배분, 원금 상환 또는 고정 이자 권리를 부여하지 않는다. 커뮤니티 의견 제출은 운영 개선을 위한 참여 기능이며 회사의 의결권과 구분한다. 토큰 명칭만으로 법적 성격이 확정되는 것은 아니므로 최종 발행 조건과 적용 법률의 검토 결과를 공개 내용에 반영한다.</w:t>
      </w:r>
    </w:p>
    <w:p>
      <w:r>
        <w:t>개인 지갑에서 보유하는 토큰과 계정에 표시되는 포인트·이용권은 보관 구조가 다르다. 온체인 잔액은 해당 지갑과 계약에서 확인하고, 내부 원장의 잔액은 SurfX의 서비스 기록으로 관리한다. 전송 오류나 키 분실 시 복구 가능한 범위와 운영자가 통제할 수 없는 범위를 지갑 안내에 명시한다.</w:t>
      </w:r>
    </w:p>
    <w:p>
      <w:bookmarkStart w:id="13" w:name="section_13"/>
      <w:pPr>
        <w:pStyle w:val="Heading1"/>
      </w:pPr>
      <w:r>
        <w:t>12 모든 재화를 연결하는 통합 사용 구조</w:t>
      </w:r>
      <w:bookmarkEnd w:id="13"/>
    </w:p>
    <w:p>
      <w:r>
        <w:t>SurfX가 지향하는 재화 통합은 통합 조회, 공용 결제, 승인된 전환과 공동 정산의 네 기능으로 구현한다. 잔액을 함께 보여주는 기능과 실제로 교환할 수 있는 권리는 명확히 구분한다. 서비스별 재화의 성격을 유지하면서 공통 토큰으로 사용할 수 있는 접점을 넓히는 방식이다.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584"/>
        <w:gridCol w:w="4104"/>
        <w:gridCol w:w="3816"/>
      </w:tblGrid>
      <w:tr>
        <w:trPr>
          <w:cantSplit/>
          <w:tblHeader/>
        </w:trPr>
        <w:tc>
          <w:tcPr>
            <w:tcW w:type="dxa" w:w="1584"/>
            <w:vAlign w:val="center"/>
            <w:shd w:fill="173E51"/>
          </w:tcPr>
          <w:p>
            <w:pPr>
              <w:keepNext/>
              <w:widowControl/>
              <w:spacing w:after="0" w:before="0" w:line="300" w:lineRule="exact"/>
              <w:jc w:val="center"/>
            </w:pPr>
            <w:r>
              <w:rPr>
                <w:rFonts w:ascii="Noto Sans CJK KR" w:hAnsi="Noto Sans CJK KR" w:eastAsia="Noto Sans CJK KR"/>
                <w:b/>
                <w:color w:val="FFFFFF"/>
                <w:sz w:val="20"/>
              </w:rPr>
              <w:t>재화 종류</w:t>
            </w:r>
          </w:p>
        </w:tc>
        <w:tc>
          <w:tcPr>
            <w:tcW w:type="dxa" w:w="4104"/>
            <w:vAlign w:val="center"/>
            <w:shd w:fill="173E51"/>
          </w:tcPr>
          <w:p>
            <w:pPr>
              <w:keepNext/>
              <w:widowControl/>
              <w:spacing w:after="0" w:before="0" w:line="300" w:lineRule="exact"/>
              <w:jc w:val="center"/>
            </w:pPr>
            <w:r>
              <w:rPr>
                <w:rFonts w:ascii="Noto Sans CJK KR" w:hAnsi="Noto Sans CJK KR" w:eastAsia="Noto Sans CJK KR"/>
                <w:b/>
                <w:color w:val="FFFFFF"/>
                <w:sz w:val="20"/>
              </w:rPr>
              <w:t>통합 관리와 사용</w:t>
            </w:r>
          </w:p>
        </w:tc>
        <w:tc>
          <w:tcPr>
            <w:tcW w:type="dxa" w:w="3816"/>
            <w:vAlign w:val="center"/>
            <w:shd w:fill="173E51"/>
          </w:tcPr>
          <w:p>
            <w:pPr>
              <w:keepNext/>
              <w:widowControl/>
              <w:spacing w:after="0" w:before="0" w:line="300" w:lineRule="exact"/>
              <w:jc w:val="center"/>
            </w:pPr>
            <w:r>
              <w:rPr>
                <w:rFonts w:ascii="Noto Sans CJK KR" w:hAnsi="Noto Sans CJK KR" w:eastAsia="Noto Sans CJK KR"/>
                <w:b/>
                <w:color w:val="FFFFFF"/>
                <w:sz w:val="20"/>
              </w:rPr>
              <w:t>전환 원칙</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SURFX</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개인 지갑과 공통 계정에서 확인. 지원 상품의 공용 결제와 정산에 사용</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범위에서 온체인 이전. 현금 환급이나 가격 보장은 없음</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Wave Points</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유효한 참여·기여 내역을 기록하는 비양도성 내부 포인트</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사전 공지된 적격 프로그램에만 사용. 고정 토큰·현금 청구권이 아님</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게임별 재화</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잔액과 용도를 조회. 해당 게임의 성장·경쟁 규칙 유지</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기본적으로 비전환성. 승인된 상품만 별도 규칙으로 연결</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유료 충전 재화</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구매 영수증과 환불 조건에 따라 관리</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무료 보상과 분리. 토큰 역전환을 기본 지원하지 않음</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쿠폰과 이용권</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서비스·기간·사용량 조건을 공통 계정에 표시</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허용된 서비스에서 소비. 모든 쿠폰의 환금·양도는 보장하지 않음</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디지털 수집품</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지원 인벤토리와 권리 내역에 표시</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거래 가능 여부와 앱별 이용 권한을 개별 정의</w:t>
            </w:r>
          </w:p>
        </w:tc>
      </w:tr>
    </w:tbl>
    <w:p>
      <w:pPr>
        <w:spacing w:after="0" w:before="0" w:line="240" w:lineRule="auto"/>
      </w:pPr>
      <w:r>
        <w:rPr>
          <w:sz w:val="8"/>
        </w:rPr>
      </w:r>
    </w:p>
    <w:p>
      <w:pPr>
        <w:pStyle w:val="Heading2"/>
      </w:pPr>
      <w:r>
        <w:t>전환이 가능한 경우의 처리 방식</w:t>
      </w:r>
    </w:p>
    <w:p>
      <w:r>
        <w:t>전환 대상 재화는 관리자와 파트너가 사전에 등록한다. 출처 앱, 적립 경로, 지급 재원, 환불 가능성, 국가·연령·플랫폼 조건을 기록하고, 재화별 비율과 수수료, 한도, 기한과 교환 방향을 공개한다. 무료 참여 포인트와 유료 충전 잔액은 별도 원장으로 관리한다.</w:t>
      </w:r>
    </w:p>
    <w:p>
      <w:r>
        <w:t>사용자가 전환을 요청하면 자격과 부정사용 여부를 확인하고, 지급 가능한 토큰 예산과 내부 포인트를 함께 예약한다. 지급 상태를 추적해 성공이 확인되면 포인트 차감을 확정한다. 거래의 성공·실패 여부가 확인되기 전에는 예약을 유지하고, 실패가 확정된 경우에만 재시도하거나 예약을 해제한다. 재시도에는 동일한 지급 식별자를 사용해 중복 지급을 방지한다.</w:t>
      </w:r>
    </w:p>
    <w:p>
      <w:r>
        <w:t>프로그램이 고정 비율을 제공한다면 그 약정에 필요한 토큰을 미리 확보하고 적립 상한을 적용한다. 예산 비례형 프로그램은 확정 비율이 아니라는 사실과 산정 주기를 적립 전에 알려야 한다. 이미 확정된 지급 권리를 임의로 소급 축소하지 않는다.</w:t>
      </w:r>
    </w:p>
    <w:p>
      <w:pPr>
        <w:pStyle w:val="Heading2"/>
      </w:pPr>
      <w:r>
        <w:t>이용 예시</w:t>
      </w:r>
    </w:p>
    <w:p>
      <w:r>
        <w:t>설명용 가정으로, 이용자가 토큰 기능이 허용되는 환경에서 100 SURFX를 보유한다고 하자. 지원되는 도구의 템플릿과 출력에 40, 게임의 꾸미기 콘텐츠에 30, 다른 도구의 처리량에 20을 사용하면 10 SURFX가 남는다. 숫자는 제품 가격이나 교환 비율의 약속이 아니다. 핵심은 하나의 토큰 잔액을 각 서비스의 상품 이용에 나누어 사용할 수 있다는 점이다.</w:t>
      </w:r>
    </w:p>
    <w:p>
      <w:r>
        <w:t>게임 A의 점수 1점과 게임 B의 코인 1개가 같은 가치를 갖는다고 정의하지 않는다. 임의의 외부 게임 재화도 발행사의 동의와 정산 계약 없이 연결할 수 없다. 통합 범위는 SurfX와 정식으로 연동된 서비스가 공개한 권리에 한정된다.</w:t>
      </w:r>
    </w:p>
    <w:p>
      <w:r>
        <w:t>재화 통합은 SurfX 서비스의 결제·이용권·보상 정책을 연결하는 범위다. 외부 증권사·거래소 계정의 주식, 코인, 예수금과 매매 손익은 통합 전환 대상에서 제외하고, 별도 조회 화면에서도 서비스 토큰 잔액과 명확히 구분한다. 거래량·주문 횟수·투자 수익을 게임 보상이나 Wave Points 지급 기준으로 사용하지 않는다.</w:t>
      </w:r>
    </w:p>
    <w:p>
      <w:pPr>
        <w:pStyle w:val="Heading2"/>
      </w:pPr>
      <w:r>
        <w:t>재화 정책의 공개와 변경</w:t>
      </w:r>
    </w:p>
    <w:p>
      <w:r>
        <w:t>각 재화에는 발행 주체, 무료·유료 구분, 적립·소비 사유, 전환 방향, 지급 예산, 개인·기간별 한도, 적용 지역, 만료와 환불 기준을 등록한다. 무료 포인트의 유효기간은 적립 전에 알리고, 유료 재화와 확정 이용권의 만료·환불은 적용 정책과 법률에 맞춰 별도로 정한다.</w:t>
      </w:r>
    </w:p>
    <w:p>
      <w:r>
        <w:t>환불 가능한 구매 잔액, 미지급 창작자 정산금과 확정된 보상은 운영용 재화와 구분해 관리한다. 중복 계정·자동화·허위 실적이 의심되면 해당 보상이나 전환을 일시 보류하고 사유와 이의신청 절차를 안내한다. 일반 이용자의 이미 확정된 권리를 사전 고지 없이 일괄 회수하는 정책으로 운영하지 않는다.</w:t>
      </w:r>
    </w:p>
    <w:p>
      <w:r>
        <w:t>전환 비율·한도·수수료의 변경은 적용 시점과 사유를 사전에 공지하고 이후 참여부터 적용하는 것을 원칙으로 한다. 법률 또는 보안 사고로 즉시 제한이 필요한 경우에는 제한 범위와 기존 미처리 요청의 처리 방식을 함께 알린다. 프로그램별 재원과 종료 조건을 공개해 포인트 누적이 무제한 토큰 지급 의무로 확대되지 않게 한다.</w:t>
      </w:r>
    </w:p>
    <w:p>
      <w:bookmarkStart w:id="14" w:name="section_14"/>
      <w:pPr>
        <w:pStyle w:val="Heading1"/>
      </w:pPr>
      <w:r>
        <w:t>13 사용자 경험과 기술 구조</w:t>
      </w:r>
      <w:bookmarkEnd w:id="14"/>
    </w:p>
    <w:p>
      <w:pPr>
        <w:pStyle w:val="Heading2"/>
      </w:pPr>
      <w:r>
        <w:t>계정에서 지갑으로 이어지는 이용 흐름</w:t>
      </w:r>
    </w:p>
    <w:p>
      <w:r>
        <w:t>사용자는 이메일이나 지원 소셜 계정으로 가입한 뒤 게임과 앱의 일반 기능을 이용한다. 포인트와 이용권은 공통 계정에서 확인하고, 온체인 자산을 사용할 때 지갑을 생성하거나 외부 지갑을 연결한다. 지갑 복구 방식, 키 관리 주체와 권한을 별도로 안내하고, 비수탁형이라고 표시하려면 실제 서명·복구 구조가 그 설명과 일치해야 한다.</w:t>
      </w:r>
    </w:p>
    <w:p>
      <w:r>
        <w:t>지원 지갑과 검증된 스마트 계정 구현이 허용하는 경우에만, 사용자가 사전에 승인한 제한적 세션 권한을 적용한다. 세션에는 만료 시간, 허용 계약과 동작, 거래 한도와 철회 방법을 설정한다. 해당 기능이 없는 외부 지갑에는 개별 서명을 요청한다. 외부 전송, 권한 확대와 고액 거래에는 별도 확인을 요구한다. 가스 대납과 서명 권한 위임은 별개로 관리한다.</w:t>
      </w:r>
    </w:p>
    <w:p>
      <w:pPr>
        <w:pStyle w:val="Heading2"/>
      </w:pPr>
      <w:r>
        <w:t>오프체인과 온체인의 역할 분리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160"/>
        <w:gridCol w:w="3672"/>
        <w:gridCol w:w="3672"/>
      </w:tblGrid>
      <w:tr>
        <w:trPr>
          <w:cantSplit/>
          <w:tblHeader/>
        </w:trPr>
        <w:tc>
          <w:tcPr>
            <w:tcW w:type="dxa" w:w="2160"/>
            <w:vAlign w:val="center"/>
            <w:shd w:fill="173E51"/>
          </w:tcPr>
          <w:p>
            <w:pPr>
              <w:keepNext/>
              <w:widowControl/>
              <w:spacing w:after="0" w:before="0" w:line="300" w:lineRule="exact"/>
              <w:jc w:val="center"/>
            </w:pPr>
            <w:r>
              <w:rPr>
                <w:rFonts w:ascii="Noto Sans CJK KR" w:hAnsi="Noto Sans CJK KR" w:eastAsia="Noto Sans CJK KR"/>
                <w:b/>
                <w:color w:val="FFFFFF"/>
                <w:sz w:val="20"/>
              </w:rPr>
              <w:t>구성 요소</w:t>
            </w:r>
          </w:p>
        </w:tc>
        <w:tc>
          <w:tcPr>
            <w:tcW w:type="dxa" w:w="3672"/>
            <w:vAlign w:val="center"/>
            <w:shd w:fill="173E51"/>
          </w:tcPr>
          <w:p>
            <w:pPr>
              <w:keepNext/>
              <w:widowControl/>
              <w:spacing w:after="0" w:before="0" w:line="300" w:lineRule="exact"/>
              <w:jc w:val="center"/>
            </w:pPr>
            <w:r>
              <w:rPr>
                <w:rFonts w:ascii="Noto Sans CJK KR" w:hAnsi="Noto Sans CJK KR" w:eastAsia="Noto Sans CJK KR"/>
                <w:b/>
                <w:color w:val="FFFFFF"/>
                <w:sz w:val="20"/>
              </w:rPr>
              <w:t>처리하는 정보</w:t>
            </w:r>
          </w:p>
        </w:tc>
        <w:tc>
          <w:tcPr>
            <w:tcW w:type="dxa" w:w="3672"/>
            <w:vAlign w:val="center"/>
            <w:shd w:fill="173E51"/>
          </w:tcPr>
          <w:p>
            <w:pPr>
              <w:keepNext/>
              <w:widowControl/>
              <w:spacing w:after="0" w:before="0" w:line="300" w:lineRule="exact"/>
              <w:jc w:val="center"/>
            </w:pPr>
            <w:r>
              <w:rPr>
                <w:rFonts w:ascii="Noto Sans CJK KR" w:hAnsi="Noto Sans CJK KR" w:eastAsia="Noto Sans CJK KR"/>
                <w:b/>
                <w:color w:val="FFFFFF"/>
                <w:sz w:val="20"/>
              </w:rPr>
              <w:t>책임과 검증</w:t>
            </w:r>
          </w:p>
        </w:tc>
      </w:tr>
      <w:tr>
        <w:trPr>
          <w:cantSplit/>
        </w:trPr>
        <w:tc>
          <w:tcPr>
            <w:tcW w:type="dxa" w:w="216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앱과 게임 서버</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 진행, 점수, 일반 기능, 콘텐츠 제공</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재미와 응답성, 부정사용 탐지, 서비스 품질</w:t>
            </w:r>
          </w:p>
        </w:tc>
      </w:tr>
      <w:tr>
        <w:trPr>
          <w:cantSplit/>
        </w:trPr>
        <w:tc>
          <w:tcPr>
            <w:tcW w:type="dxa" w:w="216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공통 계정과 정책 엔진</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포인트, 상품, 지역 조건, 견적과 전환 승인</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원장 대사, 환불, 개인정보 보호와 오류 복구</w:t>
            </w:r>
          </w:p>
        </w:tc>
      </w:tr>
      <w:tr>
        <w:trPr>
          <w:cantSplit/>
        </w:trPr>
        <w:tc>
          <w:tcPr>
            <w:tcW w:type="dxa" w:w="216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지갑과 수수료 대납</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서명, 허용 거래와 BNB 가스 예산</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키 관리, 승인 한도, 남용 방지와 복구 절차</w:t>
            </w:r>
          </w:p>
        </w:tc>
      </w:tr>
      <w:tr>
        <w:trPr>
          <w:cantSplit/>
        </w:trPr>
        <w:tc>
          <w:tcPr>
            <w:tcW w:type="dxa" w:w="216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BSC 스마트계약</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토큰 잔액, 확정 지급, 베스팅과 정산 기록</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권한 제어, 공급 검증, 이벤트와 감사</w:t>
            </w:r>
          </w:p>
        </w:tc>
      </w:tr>
    </w:tbl>
    <w:p>
      <w:pPr>
        <w:spacing w:after="0" w:before="0" w:line="240" w:lineRule="auto"/>
      </w:pPr>
      <w:r>
        <w:rPr>
          <w:sz w:val="8"/>
        </w:rPr>
      </w:r>
    </w:p>
    <w:p>
      <w:r>
        <w:t>개인정보, 게임 로그 전체와 사진·영상 원본은 공개 블록체인에 저장하지 않는다. 필요한 경우 검증용 요약값이나 정산 참조만 기록하고, 원본은 목적과 보유기간을 정해 별도 저장한다. 공개 원장에 남는 지갑 거래 정보의 특성은 사용자에게 안내한다.</w:t>
      </w:r>
    </w:p>
    <w:p>
      <w:pPr>
        <w:pStyle w:val="Heading2"/>
      </w:pPr>
      <w:r>
        <w:t>결제와 보상 계약</w:t>
      </w:r>
    </w:p>
    <w:p>
      <w:r>
        <w:t>토큰 계약, 베스팅 계약, 보상 분배 계약과 서비스 정산 계약을 역할별로 분리한다. 외부 통합은 공식 계약 주소와 체인 식별자를 확인하도록 한다. 지급 계약은 처리한 지급 식별자를 기록하고 재사용을 거부한다. 서명 기반 요청에는 체인, 대상 계약, 수령자, 금액과 만료 조건을 결합한다. 온체인 거래가 성공했다고 서비스 제공이 자동으로 성공하는 것은 아니므로 영수증과 이용권 발급 결과를 대사한다.</w:t>
      </w:r>
    </w:p>
    <w:p>
      <w:r>
        <w:t>BSC에서 후원 가능한 거래를 선별해 운영자가 가스비를 부담하는 방식을 검토한다. 대납은 허용 주소와 계약, 일일 한도, 계정별 제한을 가진다. 대납 예산이 소진되거나 네트워크가 혼잡하면 안내 후 대기·일괄 처리 또는 사용자의 동의에 따른 직접 부담 경로를 제공한다. 사용자에게 사전 고지 없이 비용을 전가하지 않는다.</w:t>
      </w:r>
    </w:p>
    <w:p>
      <w:bookmarkStart w:id="15" w:name="section_15"/>
      <w:pPr>
        <w:pStyle w:val="Heading1"/>
      </w:pPr>
      <w:r>
        <w:t>14 서비스 가격과 정산</w:t>
      </w:r>
      <w:bookmarkEnd w:id="15"/>
    </w:p>
    <w:p>
      <w:r>
        <w:t>서비스 제공 비용은 법정통화 기준 또는 별도의 서비스 회계 단위로 산정하고, 지원 결제 시점에 필요한 SURFX 수량을 표시하는 방식을 기본안으로 둔다. 이는 SURFX의 가치를 고정하는 것이 아니라 상품의 제공량과 가격을 이해하기 쉽게 만드는 정책이다.</w:t>
      </w:r>
    </w:p>
    <w:p>
      <w:r>
        <w:t>충분한 시장 데이터가 확보되면 검증 가능한 기준가격과 견적 유효시간, 가격 이탈 한도와 데이터 중단 조건을 설정한다. 유동성이 얕거나 신뢰할 가격이 없다면 자동 환산을 중단하고 토큰 가격을 임의로 안정적이라고 표시하지 않는다. 이 경우 일반 결제나 사전 예산이 정해진 제한 상품으로 서비스를 운영한다.</w:t>
      </w:r>
    </w:p>
    <w:p>
      <w:r>
        <w:t>결제 화면에는 상품 내용, 수령 서비스, 토큰 수량, 플랫폼 수수료, 가스 부담 주체와 환불 조건을 함께 표시한다. 환불은 토큰 수량 기준인지 구매 당시 상품가 기준인지 미리 정하고, 환불 시점의 시세 변화로 생기는 차이를 설명한다. 되돌릴 수 없는 온체인 전송과 취소 가능한 서비스 예약은 별도 상태로 관리한다.</w:t>
      </w:r>
    </w:p>
    <w:p>
      <w:r>
        <w:t>파트너 계약은 정산 자산, 주기와 수수료를 정한다. SURFX 정산을 기본으로 검토하되 법정통화 또는 다른 자산으로의 지급은 적법한 제공자와 필요한 절차가 마련된 범위에서만 별도 제공한다. 가격 변동과 환불 준비금, 외부 서비스 비용을 고려하지 않은 자동 전액 지급은 피한다.</w:t>
      </w:r>
    </w:p>
    <w:p>
      <w:r>
        <w:t>서비스 종료 시에는 신규 판매 중단, 사전 공지, 남은 이용권과 미이행 정산의 처리 절차를 적용한다. 블록체인에 토큰이 남아 있다는 사실만으로 종료된 앱의 기능이 영구 제공되지는 않는다. 이미 확정한 이용자 권리와 준비금은 종료 계획에서 구체적으로 처리한다.</w:t>
      </w:r>
    </w:p>
    <w:p>
      <w:bookmarkStart w:id="16" w:name="section_16"/>
      <w:pPr>
        <w:pStyle w:val="Heading1"/>
      </w:pPr>
      <w:r>
        <w:t>15 토큰 공급과 배분 기준안</w:t>
      </w:r>
      <w:bookmarkEnd w:id="16"/>
    </w:p>
    <w:p>
      <w:r>
        <w:t>공급 기준안은 최초 총발행량 1,000,000,000 SURFX, 발행 후 추가 발행 금지, 장기 분할 해제와 집행 내역 공개다. 본 백서는 토큰 발행 또는 판매가 이미 완료되었다고 표시하지 않는다. 정식 배포 전에 최종 명세, 배분 지갑과 잠금 조건을 공개하고 실제 계약이 공개 명세와 일치하는지 검증한다.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04"/>
        <w:gridCol w:w="7200"/>
      </w:tblGrid>
      <w:tr>
        <w:trPr>
          <w:cantSplit/>
          <w:tblHeader/>
        </w:trPr>
        <w:tc>
          <w:tcPr>
            <w:tcW w:type="dxa" w:w="2304"/>
            <w:vAlign w:val="center"/>
            <w:shd w:fill="173E51"/>
          </w:tcPr>
          <w:p>
            <w:pPr>
              <w:keepNext/>
              <w:widowControl/>
              <w:spacing w:after="0" w:before="0" w:line="300" w:lineRule="exact"/>
              <w:jc w:val="center"/>
            </w:pPr>
            <w:r>
              <w:rPr>
                <w:rFonts w:ascii="Noto Sans CJK KR" w:hAnsi="Noto Sans CJK KR" w:eastAsia="Noto Sans CJK KR"/>
                <w:b/>
                <w:color w:val="FFFFFF"/>
                <w:sz w:val="20"/>
              </w:rPr>
              <w:t>항목</w:t>
            </w:r>
          </w:p>
        </w:tc>
        <w:tc>
          <w:tcPr>
            <w:tcW w:type="dxa" w:w="7200"/>
            <w:vAlign w:val="center"/>
            <w:shd w:fill="173E51"/>
          </w:tcPr>
          <w:p>
            <w:pPr>
              <w:keepNext/>
              <w:widowControl/>
              <w:spacing w:after="0" w:before="0" w:line="300" w:lineRule="exact"/>
              <w:jc w:val="center"/>
            </w:pPr>
            <w:r>
              <w:rPr>
                <w:rFonts w:ascii="Noto Sans CJK KR" w:hAnsi="Noto Sans CJK KR" w:eastAsia="Noto Sans CJK KR"/>
                <w:b/>
                <w:color w:val="FFFFFF"/>
                <w:sz w:val="20"/>
              </w:rPr>
              <w:t>제안 사양</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토큰 이름</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SurfX Token</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토큰 기호</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SURFX 가칭이며 확정 전 중복과 권리 확인</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원본 체인과 표준</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BNB Smart Chain / BEP-20</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최초 총발행량</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1,000,000,000 SURFX</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소수 자릿수</w:t>
            </w:r>
          </w:p>
        </w:tc>
        <w:tc>
          <w:tcPr>
            <w:tcW w:type="dxa" w:w="72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18</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발행 정책</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최초 배포 시 10억 개 전량 발행. 이후 신규 발행과 소각분 재발행 기능 없음</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계약 구조</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원본 토큰 본체는 비업그레이드형으로 설계. 운영 계약과 권한 분리</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네트워크 가스</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BNB. 지원 거래는 운영자가 조건부 대납</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소각 정책</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v0.2 기준안에는 소각 기능과 자동 재매입을 두지 않음. 공급 감소를 전제로 상품이나 수익을 설명하지 않음</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664"/>
        <w:gridCol w:w="835"/>
        <w:gridCol w:w="1800"/>
        <w:gridCol w:w="4205"/>
      </w:tblGrid>
      <w:tr>
        <w:trPr>
          <w:cantSplit/>
          <w:tblHeader/>
        </w:trPr>
        <w:tc>
          <w:tcPr>
            <w:tcW w:type="dxa" w:w="2664"/>
            <w:vAlign w:val="center"/>
            <w:shd w:fill="173E51"/>
          </w:tcPr>
          <w:p>
            <w:pPr>
              <w:keepNext/>
              <w:widowControl/>
              <w:spacing w:after="0" w:before="0" w:line="300" w:lineRule="exact"/>
              <w:jc w:val="center"/>
            </w:pPr>
            <w:r>
              <w:rPr>
                <w:rFonts w:ascii="Noto Sans CJK KR" w:hAnsi="Noto Sans CJK KR" w:eastAsia="Noto Sans CJK KR"/>
                <w:b/>
                <w:color w:val="FFFFFF"/>
                <w:sz w:val="20"/>
              </w:rPr>
              <w:t>배분 항목</w:t>
            </w:r>
          </w:p>
        </w:tc>
        <w:tc>
          <w:tcPr>
            <w:tcW w:type="dxa" w:w="835"/>
            <w:vAlign w:val="center"/>
            <w:shd w:fill="173E51"/>
          </w:tcPr>
          <w:p>
            <w:pPr>
              <w:keepNext/>
              <w:widowControl/>
              <w:spacing w:after="0" w:before="0" w:line="300" w:lineRule="exact"/>
              <w:jc w:val="center"/>
            </w:pPr>
            <w:r>
              <w:rPr>
                <w:rFonts w:ascii="Noto Sans CJK KR" w:hAnsi="Noto Sans CJK KR" w:eastAsia="Noto Sans CJK KR"/>
                <w:b/>
                <w:color w:val="FFFFFF"/>
                <w:sz w:val="20"/>
              </w:rPr>
              <w:t>비율</w:t>
            </w:r>
          </w:p>
        </w:tc>
        <w:tc>
          <w:tcPr>
            <w:tcW w:type="dxa" w:w="1800"/>
            <w:vAlign w:val="center"/>
            <w:shd w:fill="173E51"/>
          </w:tcPr>
          <w:p>
            <w:pPr>
              <w:keepNext/>
              <w:widowControl/>
              <w:spacing w:after="0" w:before="0" w:line="300" w:lineRule="exact"/>
              <w:jc w:val="center"/>
            </w:pPr>
            <w:r>
              <w:rPr>
                <w:rFonts w:ascii="Noto Sans CJK KR" w:hAnsi="Noto Sans CJK KR" w:eastAsia="Noto Sans CJK KR"/>
                <w:b/>
                <w:color w:val="FFFFFF"/>
                <w:sz w:val="20"/>
              </w:rPr>
              <w:t>수량</w:t>
            </w:r>
          </w:p>
        </w:tc>
        <w:tc>
          <w:tcPr>
            <w:tcW w:type="dxa" w:w="4205"/>
            <w:vAlign w:val="center"/>
            <w:shd w:fill="173E51"/>
          </w:tcPr>
          <w:p>
            <w:pPr>
              <w:keepNext/>
              <w:widowControl/>
              <w:spacing w:after="0" w:before="0" w:line="300" w:lineRule="exact"/>
              <w:jc w:val="center"/>
            </w:pPr>
            <w:r>
              <w:rPr>
                <w:rFonts w:ascii="Noto Sans CJK KR" w:hAnsi="Noto Sans CJK KR" w:eastAsia="Noto Sans CJK KR"/>
                <w:b/>
                <w:color w:val="FFFFFF"/>
                <w:sz w:val="20"/>
              </w:rPr>
              <w:t>집행 목적</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이용자와 생태계 보상</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40%</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400,000,000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검증된 참여와 장기 서비스 이용 활성화</w:t>
            </w:r>
          </w:p>
        </w:tc>
      </w:tr>
      <w:tr>
        <w:trPr>
          <w:cantSplit/>
        </w:trPr>
        <w:tc>
          <w:tcPr>
            <w:tcW w:type="dxa" w:w="266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개발자와 콘텐츠 생태계</w:t>
            </w:r>
          </w:p>
        </w:tc>
        <w:tc>
          <w:tcPr>
            <w:tcW w:type="dxa" w:w="835"/>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20%</w:t>
            </w:r>
          </w:p>
        </w:tc>
        <w:tc>
          <w:tcPr>
            <w:tcW w:type="dxa" w:w="1800"/>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200,000,000</w:t>
            </w:r>
          </w:p>
        </w:tc>
        <w:tc>
          <w:tcPr>
            <w:tcW w:type="dxa" w:w="4205"/>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앱 연동, 창작물과 서비스 개발 지원</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 및 장기 기여자</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15%</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150,000,000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대표자의 장기 개발·운영 기여와 향후 계약상 기여 보상</w:t>
            </w:r>
          </w:p>
        </w:tc>
      </w:tr>
      <w:tr>
        <w:trPr>
          <w:cantSplit/>
        </w:trPr>
        <w:tc>
          <w:tcPr>
            <w:tcW w:type="dxa" w:w="266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운영과 보안 재무고</w:t>
            </w:r>
          </w:p>
        </w:tc>
        <w:tc>
          <w:tcPr>
            <w:tcW w:type="dxa" w:w="835"/>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10%</w:t>
            </w:r>
          </w:p>
        </w:tc>
        <w:tc>
          <w:tcPr>
            <w:tcW w:type="dxa" w:w="1800"/>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100,000,000</w:t>
            </w:r>
          </w:p>
        </w:tc>
        <w:tc>
          <w:tcPr>
            <w:tcW w:type="dxa" w:w="4205"/>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감사, 인프라, 운영과 비상 대응</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전략적 파트너</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정산·서비스 연동과 생태계 협력</w:t>
            </w:r>
          </w:p>
        </w:tc>
      </w:tr>
      <w:tr>
        <w:trPr>
          <w:cantSplit/>
        </w:trPr>
        <w:tc>
          <w:tcPr>
            <w:tcW w:type="dxa" w:w="266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초기 유동성 준비</w:t>
            </w:r>
          </w:p>
        </w:tc>
        <w:tc>
          <w:tcPr>
            <w:tcW w:type="dxa" w:w="835"/>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5%</w:t>
            </w:r>
          </w:p>
        </w:tc>
        <w:tc>
          <w:tcPr>
            <w:tcW w:type="dxa" w:w="1800"/>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50,000,000</w:t>
            </w:r>
          </w:p>
        </w:tc>
        <w:tc>
          <w:tcPr>
            <w:tcW w:type="dxa" w:w="4205"/>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승인된 시장 유동성 공급 준비</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합계</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r>
          </w:p>
        </w:tc>
      </w:tr>
    </w:tbl>
    <w:p>
      <w:pPr>
        <w:spacing w:after="0" w:before="0" w:line="240" w:lineRule="auto"/>
      </w:pPr>
      <w:r>
        <w:rPr>
          <w:sz w:val="8"/>
        </w:rPr>
      </w:r>
    </w:p>
    <w:p>
      <w:r>
        <w:t>토큰 배분은 현금 예산과 다르다. 운영 재무고나 유동성 준비 물량이 존재해도 급여, 서버비와 BNB 가스비를 지급할 현금이 자동으로 확보되는 것은 아니다. 유동성 풀에는 대응 자산이 별도로 필요하며, 거래 지원이나 충분한 시장 깊이가 예정되었다고 간주하지 않는다.</w:t>
      </w:r>
    </w:p>
    <w:p>
      <w:r>
        <w:t>대표자 및 장기 기여자 배분 15%는 장기적인 개발·운영 기여를 위한 물량이다. 대표자의 배정·수령 내역을 공개하고, 향후 기여자에게 배정할 경우 계약과 기여 범위를 별도로 기록한다. 해당 물량에 대기기간과 분할 해제를 적용하며 긴급 운영비를 이유로 잠금을 임의 해제하지 않는다.</w:t>
      </w:r>
    </w:p>
    <w:p>
      <w:r>
        <w:t>개발자·콘텐츠 예산 20%와 전략적 파트너 예산 10%는 향후 실제 개발·연동 계약을 위한 목적별 준비 물량이다. 이미 체결된 계약이나 배정 완료 물량을 뜻하지 않는다. 계약별 산출물, 지급 조건과 기여를 확인한 후 집행하며 미사용 물량은 해당 지갑에 보관한다.</w:t>
      </w:r>
    </w:p>
    <w:p>
      <w:r>
        <w:t>대표자 배분과 운영 재무고는 별도 지갑과 장부로 관리한다. 재무고에서 대표자에게 보수를 지급하거나 대표자와 관련된 거래를 집행할 경우 목적과 금액, 이해관계를 기록해 공개한다. 동일 지출을 개발 지원·보상·운영비로 중복 계상하지 않는다.</w:t>
      </w:r>
    </w:p>
    <w:p>
      <w:bookmarkStart w:id="17" w:name="section_17"/>
      <w:pPr>
        <w:pStyle w:val="Heading1"/>
      </w:pPr>
      <w:r>
        <w:t>16 잠금과 유통량 공개</w:t>
      </w:r>
      <w:bookmarkEnd w:id="17"/>
    </w:p>
    <w:p>
      <w:r>
        <w:t>발행 시점은 TGE라고 부른다. 예시 초기 해제 한도는 총량의 5%인 50,000,000 SURFX로 제안한다. 월별 해제일은 TGE 이후 매월 기준일로 정의한다. 대기기간이 없으면 1개월 경과 시 처음 해제하고, 6개월 대기 시 7개월, 12개월 대기 시 13개월 경과일에 처음 해제한다. 보상·지원·재무고 물량은 해제되더라도 승인 예산에 따라 집행하고 미사용 물량은 보관한다.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20"/>
        <w:gridCol w:w="1656"/>
        <w:gridCol w:w="5328"/>
      </w:tblGrid>
      <w:tr>
        <w:trPr>
          <w:cantSplit/>
          <w:tblHeader/>
        </w:trPr>
        <w:tc>
          <w:tcPr>
            <w:tcW w:type="dxa" w:w="2520"/>
            <w:vAlign w:val="center"/>
            <w:shd w:fill="173E51"/>
          </w:tcPr>
          <w:p>
            <w:pPr>
              <w:keepNext/>
              <w:widowControl/>
              <w:spacing w:after="0" w:before="0" w:line="300" w:lineRule="exact"/>
              <w:jc w:val="center"/>
            </w:pPr>
            <w:r>
              <w:rPr>
                <w:rFonts w:ascii="Noto Sans CJK KR" w:hAnsi="Noto Sans CJK KR" w:eastAsia="Noto Sans CJK KR"/>
                <w:b/>
                <w:color w:val="FFFFFF"/>
                <w:sz w:val="20"/>
              </w:rPr>
              <w:t>배분 항목</w:t>
            </w:r>
          </w:p>
        </w:tc>
        <w:tc>
          <w:tcPr>
            <w:tcW w:type="dxa" w:w="1656"/>
            <w:vAlign w:val="center"/>
            <w:shd w:fill="173E51"/>
          </w:tcPr>
          <w:p>
            <w:pPr>
              <w:keepNext/>
              <w:widowControl/>
              <w:spacing w:after="0" w:before="0" w:line="300" w:lineRule="exact"/>
              <w:jc w:val="center"/>
            </w:pPr>
            <w:r>
              <w:rPr>
                <w:rFonts w:ascii="Noto Sans CJK KR" w:hAnsi="Noto Sans CJK KR" w:eastAsia="Noto Sans CJK KR"/>
                <w:b/>
                <w:color w:val="FFFFFF"/>
                <w:sz w:val="20"/>
              </w:rPr>
              <w:t>TGE 해제</w:t>
            </w:r>
          </w:p>
        </w:tc>
        <w:tc>
          <w:tcPr>
            <w:tcW w:type="dxa" w:w="5328"/>
            <w:vAlign w:val="center"/>
            <w:shd w:fill="173E51"/>
          </w:tcPr>
          <w:p>
            <w:pPr>
              <w:keepNext/>
              <w:widowControl/>
              <w:spacing w:after="0" w:before="0" w:line="300" w:lineRule="exact"/>
              <w:jc w:val="center"/>
            </w:pPr>
            <w:r>
              <w:rPr>
                <w:rFonts w:ascii="Noto Sans CJK KR" w:hAnsi="Noto Sans CJK KR" w:eastAsia="Noto Sans CJK KR"/>
                <w:b/>
                <w:color w:val="FFFFFF"/>
                <w:sz w:val="20"/>
              </w:rPr>
              <w:t>잔여 물량의 해제 제안</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이용자와 생태계 보상</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10,000,000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잔여 390,000,000을 1~60개월 경과일에 균등 해제. 지급은 승인 예산 이내</w:t>
            </w:r>
          </w:p>
        </w:tc>
      </w:tr>
      <w:tr>
        <w:trPr>
          <w:cantSplit/>
        </w:trPr>
        <w:tc>
          <w:tcPr>
            <w:tcW w:type="dxa" w:w="252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개발자와 콘텐츠 생태계</w:t>
            </w:r>
          </w:p>
        </w:tc>
        <w:tc>
          <w:tcPr>
            <w:tcW w:type="dxa" w:w="1656"/>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0</w:t>
            </w:r>
          </w:p>
        </w:tc>
        <w:tc>
          <w:tcPr>
            <w:tcW w:type="dxa" w:w="53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6개월 대기 후 7~54개월 경과일에 균등 해제. 개발 마일스톤에 따라 지급</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 및 장기 기여자</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12개월 대기 후 13~48개월 경과일에 균등 해제. 일시 소급 지급 없음</w:t>
            </w:r>
          </w:p>
        </w:tc>
      </w:tr>
      <w:tr>
        <w:trPr>
          <w:cantSplit/>
        </w:trPr>
        <w:tc>
          <w:tcPr>
            <w:tcW w:type="dxa" w:w="252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운영과 보안 재무고</w:t>
            </w:r>
          </w:p>
        </w:tc>
        <w:tc>
          <w:tcPr>
            <w:tcW w:type="dxa" w:w="1656"/>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10,000,000</w:t>
            </w:r>
          </w:p>
        </w:tc>
        <w:tc>
          <w:tcPr>
            <w:tcW w:type="dxa" w:w="53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잔여 90,000,000을 1~48개월 경과일에 균등 해제. 집행 사유 공개</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전략적 파트너</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12개월 대기 후 13~48개월 경과일에 균등 해제. 계약상 지급 조건 추가</w:t>
            </w:r>
          </w:p>
        </w:tc>
      </w:tr>
      <w:tr>
        <w:trPr>
          <w:cantSplit/>
        </w:trPr>
        <w:tc>
          <w:tcPr>
            <w:tcW w:type="dxa" w:w="252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초기 유동성 준비</w:t>
            </w:r>
          </w:p>
        </w:tc>
        <w:tc>
          <w:tcPr>
            <w:tcW w:type="dxa" w:w="1656"/>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30,000,000</w:t>
            </w:r>
          </w:p>
        </w:tc>
        <w:tc>
          <w:tcPr>
            <w:tcW w:type="dxa" w:w="53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잔여 20,000,000을 1~24개월 경과일에 균등 해제. 실제 투입은 별도 승인</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합계</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50,000,000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초기 해제 한도는 전체의 5%</w:t>
            </w:r>
          </w:p>
        </w:tc>
      </w:tr>
    </w:tbl>
    <w:p>
      <w:pPr>
        <w:spacing w:after="0" w:before="0" w:line="240" w:lineRule="auto"/>
      </w:pPr>
      <w:r>
        <w:rPr>
          <w:sz w:val="8"/>
        </w:rPr>
      </w:r>
    </w:p>
    <w:p>
      <w:r>
        <w:t>해제 가능 물량과 실제 시장 유통량은 같지 않다. 재무고에 남아 있는 물량, 미지급 보상, 베스팅 계약과 유동성 투입 잔액을 구분해 공개한다. 실제 초기 유통량은 TGE에 실제 지급·유통된 수량으로 계산하며, 위 5%를 확정 유통량으로 표시하지 않는다.</w:t>
      </w:r>
    </w:p>
    <w:p>
      <w:r>
        <w:t>공식 공개 페이지 또는 정기 보고는 최초 발행량, 소각량, 잠금 잔액, 해제 누계, 재무고, 실제 지급과 다음 해제 일정을 별도로 표시한다. 배분 지갑과 관리자 권한, 베스팅 계약 주소 및 변경 이력을 공개한다. 반올림 잔량은 마지막 해제 구간에서 조정해 배분 총량과 일치시킨다.</w:t>
      </w:r>
    </w:p>
    <w:p>
      <w:r>
        <w:t>공식 공급 현황은 정기적으로 갱신하고 중대한 잠금 해제·지갑 변경은 별도 공지한다. v0.2의 최초 배포 기준안에는 소각 기능이 없으므로 소각량은 0으로 표시한다. 토큰 본체가 비업그레이드형인 만큼 배포 후 공지나 운영자 결정만으로 추가 발행·소각 기능을 삽입할 수 없다.</w:t>
      </w:r>
    </w:p>
    <w:p>
      <w:bookmarkStart w:id="18" w:name="section_18"/>
      <w:pPr>
        <w:pStyle w:val="Heading1"/>
      </w:pPr>
      <w:r>
        <w:t>17 보상 예산과 운영 재원</w:t>
      </w:r>
      <w:bookmarkEnd w:id="18"/>
    </w:p>
    <w:p>
      <w:pPr>
        <w:pStyle w:val="Heading2"/>
      </w:pPr>
      <w:r>
        <w:t>재원이 먼저 확보되는 보상</w:t>
      </w:r>
    </w:p>
    <w:p>
      <w:r>
        <w:t>토큰 보상은 이미 발행된 배분 물량과 승인된 캠페인 예치금에서 지급한다. 이용자가 활동할 때마다 새 토큰을 발행하지 않는다. 보상 규모는 지급 가능한 토큰 재원, 예산 승인, 검증된 기여, 부정사용 수준과 서비스의 실질 이용을 함께 고려해 정한다.</w:t>
      </w:r>
    </w:p>
    <w:p>
      <w:r>
        <w:t>설명용 사례로 한 달에 해제되어 사용 가능한 토큰이 2,000,000개여도, 승인한 보상 예산이 1,200,000개이고 캠페인에 실제 확보한 재원이 1,000,000개라면 지급 한도는 1,000,000개 이하다. 이 수치는 운영 예시이며 실제 월별 지급 계획이 아니다. 다른 자산으로 받은 캠페인 비용은 SURFX 재원을 별도로 확보한 뒤 토큰 예산으로 인정한다.</w:t>
      </w:r>
    </w:p>
    <w:p>
      <w:r>
        <w:t>예산 비례 방식이라면 사전에 정한 유효 기여 점수의 비중에 따라 지급한다. 예를 들어 배정된 한 프로그램의 예산이 100,000 SURFX이고 전체 유효 점수의 1%를 인정받은 이용자는 개인 상한 적용 전 최대 1,000 SURFX 배정 대상이 된다. 인원이 늘어났다고 프로그램 전체 지급량이 무제한 늘어나지는 않는다. 미달성, 부정사용 차감과 잔여 예산의 처리 규칙도 참여 전에 공개한다.</w:t>
      </w:r>
    </w:p>
    <w:p>
      <w:pPr>
        <w:pStyle w:val="Heading2"/>
      </w:pPr>
      <w:r>
        <w:t>수요를 만드는 서비스</w:t>
      </w:r>
    </w:p>
    <w:p>
      <w:r>
        <w:t>반복되는 소비처는 출시 목록에서 확정되는 콘텐츠, 창작 작업에 필요한 도구, 사용량 기반 서비스와 승인된 파트너 캠페인으로 구성한다. 이용자가 보상 없이도 구매하려는 상품을 먼저 검증하고, 재구매·재방문과 서비스 제공 비용을 확인한 뒤 보상 프로그램을 확대한다.</w:t>
      </w:r>
    </w:p>
    <w:p>
      <w:r>
        <w:t>토큰을 창작자에게 지불하는 행위는 이전이며 총공급을 줄이지 않는다. 이용권 소비는 서비스 권리의 사용이고, 예치·잠금은 일정 기간의 이전 제한이다. v0.2의 토큰 기준안에는 소각 기능이 없으므로 서비스 이용이나 결제를 소각 또는 영구적인 공급 감소로 홍보하지 않는다.</w:t>
      </w:r>
    </w:p>
    <w:p>
      <w:pPr>
        <w:pStyle w:val="Heading2"/>
      </w:pPr>
      <w:r>
        <w:t>사업의 운영 재원</w:t>
      </w:r>
    </w:p>
    <w:p>
      <w:r>
        <w:t>운영 재원은 단계별로 마련한다. 출시 준비 단계에는 대표자의 사업용 자기자금과 별도로 확보한 개발 예산을 우선 활용하고, 서비스 출시 후에는 실제 발생한 이용료·콘텐츠 거래 수수료·멤버십·승인된 파트너 캠페인·개발자 서비스 매출을 운영 재원으로 검토한다. 자기자금 규모, 외부 투자와 매출은 확보 내역이 확인되기 전까지 확정 재원으로 표시하지 않는다.</w:t>
      </w:r>
    </w:p>
    <w:p>
      <w:r>
        <w:t>대표자의 개인 지출과 프로젝트의 사업 지출은 별도 계정·장부로 구분한다. 사업자 등록 형태와 관계없이 운영상 자금 관리를 분리하는 원칙이며, 개인과 사업자의 법적 책임이 자동으로 분리된다는 뜻은 아니다. 토큰 재무고 평가액과 실제 지출 가능한 현금·BNB 준비금도 구분한다.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92"/>
        <w:gridCol w:w="6912"/>
      </w:tblGrid>
      <w:tr>
        <w:trPr>
          <w:cantSplit/>
          <w:tblHeader/>
        </w:trPr>
        <w:tc>
          <w:tcPr>
            <w:tcW w:type="dxa" w:w="2592"/>
            <w:vAlign w:val="center"/>
            <w:shd w:fill="173E51"/>
          </w:tcPr>
          <w:p>
            <w:pPr>
              <w:keepNext/>
              <w:widowControl/>
              <w:spacing w:after="0" w:before="0" w:line="300" w:lineRule="exact"/>
              <w:jc w:val="center"/>
            </w:pPr>
            <w:r>
              <w:rPr>
                <w:rFonts w:ascii="Noto Sans CJK KR" w:hAnsi="Noto Sans CJK KR" w:eastAsia="Noto Sans CJK KR"/>
                <w:b/>
                <w:color w:val="FFFFFF"/>
                <w:sz w:val="20"/>
              </w:rPr>
              <w:t>재원 구분</w:t>
            </w:r>
          </w:p>
        </w:tc>
        <w:tc>
          <w:tcPr>
            <w:tcW w:type="dxa" w:w="6912"/>
            <w:vAlign w:val="center"/>
            <w:shd w:fill="173E51"/>
          </w:tcPr>
          <w:p>
            <w:pPr>
              <w:keepNext/>
              <w:widowControl/>
              <w:spacing w:after="0" w:before="0" w:line="300" w:lineRule="exact"/>
              <w:jc w:val="center"/>
            </w:pPr>
            <w:r>
              <w:rPr>
                <w:rFonts w:ascii="Noto Sans CJK KR" w:hAnsi="Noto Sans CJK KR" w:eastAsia="Noto Sans CJK KR"/>
                <w:b/>
                <w:color w:val="FFFFFF"/>
                <w:sz w:val="20"/>
              </w:rPr>
              <w:t>사용 원칙</w:t>
            </w:r>
          </w:p>
        </w:tc>
      </w:tr>
      <w:tr>
        <w:trPr>
          <w:cantSplit/>
        </w:trPr>
        <w:tc>
          <w:tcPr>
            <w:tcW w:type="dxa" w:w="25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 자기자금과 개발 예산</w:t>
            </w:r>
          </w:p>
        </w:tc>
        <w:tc>
          <w:tcPr>
            <w:tcW w:type="dxa" w:w="69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초기 개발, 도메인·서버, 출시 준비 비용. 실제 투입액과 지출 근거를 기록</w:t>
            </w:r>
          </w:p>
        </w:tc>
      </w:tr>
      <w:tr>
        <w:trPr>
          <w:cantSplit/>
        </w:trPr>
        <w:tc>
          <w:tcPr>
            <w:tcW w:type="dxa" w:w="25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서비스 영업 매출</w:t>
            </w:r>
          </w:p>
        </w:tc>
        <w:tc>
          <w:tcPr>
            <w:tcW w:type="dxa" w:w="69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제공 비용·환불·필수 운영비를 반영한 뒤 서비스 개선과 승인된 보상에 배정</w:t>
            </w:r>
          </w:p>
        </w:tc>
      </w:tr>
      <w:tr>
        <w:trPr>
          <w:cantSplit/>
        </w:trPr>
        <w:tc>
          <w:tcPr>
            <w:tcW w:type="dxa" w:w="25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파트너 선결제 예산</w:t>
            </w:r>
          </w:p>
        </w:tc>
        <w:tc>
          <w:tcPr>
            <w:tcW w:type="dxa" w:w="69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계약된 캠페인 목적과 지급 대상에만 집행. 미집행분과 환불 의무를 별도 관리</w:t>
            </w:r>
          </w:p>
        </w:tc>
      </w:tr>
      <w:tr>
        <w:trPr>
          <w:cantSplit/>
        </w:trPr>
        <w:tc>
          <w:tcPr>
            <w:tcW w:type="dxa" w:w="25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목적별 토큰 재무고</w:t>
            </w:r>
          </w:p>
        </w:tc>
        <w:tc>
          <w:tcPr>
            <w:tcW w:type="dxa" w:w="69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베스팅과 승인 예산에 따른 토큰 분배. 현금 준비금이나 매출로 간주하지 않음</w:t>
            </w:r>
          </w:p>
        </w:tc>
      </w:tr>
      <w:tr>
        <w:trPr>
          <w:cantSplit/>
        </w:trPr>
        <w:tc>
          <w:tcPr>
            <w:tcW w:type="dxa" w:w="25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외부 조달과 토큰 판매</w:t>
            </w:r>
          </w:p>
        </w:tc>
        <w:tc>
          <w:tcPr>
            <w:tcW w:type="dxa" w:w="69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현재 확정된 재원으로 전제하지 않음. 추진 시 판매 조건·법률 검토·자금 사용을 별도 공개</w:t>
            </w:r>
          </w:p>
        </w:tc>
      </w:tr>
    </w:tbl>
    <w:p>
      <w:pPr>
        <w:spacing w:after="0" w:before="0" w:line="240" w:lineRule="auto"/>
      </w:pPr>
      <w:r>
        <w:rPr>
          <w:sz w:val="8"/>
        </w:rPr>
      </w:r>
    </w:p>
    <w:p>
      <w:r>
        <w:t>집행 우선순위는 확정된 환불·보상·파트너 정산 의무, 보안·서버·고객지원 등 필수 운영비, 계약된 개발비, 신규 확장과 마케팅 순으로 설정한다. 법률상 또는 계약상 용도가 정해진 자금은 해당 용도를 우선하며, 토큰 가격 상승에 기대어 미확보 비용의 지출을 약정하지 않는다.</w:t>
      </w:r>
    </w:p>
    <w:p>
      <w:r>
        <w:t>대표자는 월별로 현금성 잔액, BNB 수수료 예산, 확정 지급 의무와 고정비를 대사한다. 최소 6개월분의 필수 고정비 확보를 내부 관리 목표로 두되, 현재 준비금이 확보되었다는 사실로 표시하지 않는다. 준비금이 목표에 미달하면 신규 보상·마케팅·확장 지출을 조정하고 이미 확정한 의무의 이행을 우선한다.</w:t>
      </w:r>
    </w:p>
    <w:p>
      <w:r>
        <w:t>운영 현황은 월별 집계와 분기별 요약 공개를 기본 계획으로 한다. 공개 항목은 재원 유형, 주요 지출 범주, 보상 집행, 재무고 이동과 미이행 의무의 처리 현황이다. 고객 개인정보나 거래 상대의 비공개 계약 정보는 노출하지 않는다. 공개 수치에 외부 감사를 받지 않았다면 자체 집계임을 명시한다.</w:t>
      </w:r>
    </w:p>
    <w:p>
      <w:r>
        <w:t>시스템 트레이딩 도구가 출시되면 분석·모의매매 구독, 백테스트 처리량과 승인된 자동화 도구 이용료를 수익원으로 검토한다. 데이터 라이선스, 시세 수신, 연산, 보안 저장, 주문 상태 감시와 장애 대응 비용을 해당 서비스 원가로 별도 관리한다. 이용자의 매매 원금과 수익은 SurfX의 운영 재원이나 토큰 보상 재원에 포함하지 않는다.</w:t>
      </w:r>
    </w:p>
    <w:p>
      <w:bookmarkStart w:id="19" w:name="section_19"/>
      <w:pPr>
        <w:pStyle w:val="Heading1"/>
      </w:pPr>
      <w:r>
        <w:t>18 스마트계약 보안과 운영 통제</w:t>
      </w:r>
      <w:bookmarkEnd w:id="19"/>
    </w:p>
    <w:p>
      <w:r>
        <w:t>토큰 본체와 베스팅 계약은 가능한 한 단순하게 설계한다. 최초 배포 시 전량 발행하고 이후 추가 발행 기능이 없는 비업그레이드형 토큰을 기준안으로 삼는다. 초기 기준안에는 전송세, 자동 재매입·소각, 운영자의 임의 잔액 압류 기능을 두지 않는다. 보상·정산 등 운영 계약은 토큰 본체와 별도로 관리한다.</w:t>
      </w:r>
    </w:p>
    <w:p>
      <w:r>
        <w:t>계약은 테스트넷 검증과 외부 보안 검토를 거친 뒤 실제 자산을 사용하는 배포를 진행한다. 공급량, 잠금 일정, 지급 식별자 중복 방지, 권한 변경, 입력값 검증과 실패 복구를 점검한다. 검토 업체·보고서·조치 결과가 공개되기 전에는 감사 완료 또는 안전 보장을 표시하지 않는다.</w:t>
      </w:r>
    </w:p>
    <w:p>
      <w:pPr>
        <w:pStyle w:val="Heading2"/>
      </w:pPr>
      <w:r>
        <w:t>관리 키와 대표자의 권한</w:t>
      </w:r>
    </w:p>
    <w:p>
      <w:r>
        <w:t>초기 관리자와 재무 집행의 최종 책임자는 대표자다. 주요 자산 보관에는 하드웨어 지갑 또는 이에 준하는 오프라인 보관을 우선 검토하고, 운영 지갑·장기 재무고·계약 배포 계정을 분리한다. 서버에는 업무에 필요한 최소 권한과 최소 잔액만 부여하고 장기 보관 키를 평문으로 저장하지 않는다.</w:t>
      </w:r>
    </w:p>
    <w:p>
      <w:r>
        <w:t>다중 키 구성을 적용한다면 예를 들어 2개 승인이 필요한 3개 키를 서로 다른 기기와 장소에 분리하는 방식을 검토한다. 실제 도입 전에는 적용 여부, 서명 임계값, 키 관리 주체와 복구 절차를 공개한다. 대표자가 여러 키를 모두 통제하는 구성은 단일 키 사고의 위험을 줄일 수 있지만 독립된 다수인의 승인이나 탈중앙화를 의미하지 않는다.</w:t>
      </w:r>
    </w:p>
    <w:p>
      <w:pPr>
        <w:pStyle w:val="Heading2"/>
      </w:pPr>
      <w:r>
        <w:t>집행 제한과 변경 공지</w:t>
      </w:r>
    </w:p>
    <w:p>
      <w:r>
        <w:t>운영 지갑에는 건별·일별 집행 한도와 허용 계약을 설정한다. 설정값은 출시 전 자금 규모와 거래 패턴에 맞춰 확정하고 공개한다. 주요 관리자 변경과 운영 계약 업그레이드는 최소 48시간의 사전 공지·시간지연을 기본 정책으로 검토하며, 실제 타임락 기능의 적용 여부를 계약별로 명시한다.</w:t>
      </w:r>
    </w:p>
    <w:p>
      <w:r>
        <w:t>보안 사고 시에는 대표자가 영향받은 보상·정산 모듈의 신규 실행을 일시 중지할 수 있게 설계한다. 긴급 중지는 신규 지급을 멈추는 제한된 권한이며, 토큰 본체의 임의 동결이나 공급 변경 권한으로 확대하지 않는다. 중지 사유, 영향을 받는 기능과 복구 조건을 공개하고 재개 전에 오류 수정과 잔액 대사를 확인한다.</w:t>
      </w:r>
    </w:p>
    <w:p>
      <w:pPr>
        <w:pStyle w:val="Heading2"/>
      </w:pPr>
      <w:r>
        <w:t>보상과 이용자 보호</w:t>
      </w:r>
    </w:p>
    <w:p>
      <w:r>
        <w:t>부정사용 관리는 다중계정, 자동화, 허위 실적과 반복 환불을 탐지하되 필요한 범위의 정보만 처리한다. 오탐 이의신청과 지급 보류 사유 안내 절차를 둔다. 이미 사용자의 외부 지갑으로 이전된 토큰을 운영자가 언제든 회수할 수 있다고 약속하지 않는다.</w:t>
      </w:r>
    </w:p>
    <w:p>
      <w:r>
        <w:t>대표자는 보상 원장과 온체인 지급의 일치, 파트너 정산, 가격 데이터의 이상과 대납 비용을 정기 점검한다. 단독 의사결정, 피싱, 키 분실과 대표자 부재는 계속 관리해야 할 위험이다. 외부 검토와 권한 분산은 실제 인력·계약과 구현이 마련된 이후에만 해당 통제로 인정한다.</w:t>
      </w:r>
    </w:p>
    <w:p>
      <w:bookmarkStart w:id="20" w:name="section_20"/>
      <w:pPr>
        <w:pStyle w:val="Heading1"/>
      </w:pPr>
      <w:r>
        <w:t>19 대표자 운영과 커뮤니티 참여</w:t>
      </w:r>
      <w:bookmarkEnd w:id="20"/>
    </w:p>
    <w:p>
      <w:r>
        <w:t>초기 운영은 대표자 책임 체계다. 대표자는 공개 정책에 따라 서비스 출시, 재무 집행, 보안 대응과 이용자 지원을 결정하고 변경 내역을 기록한다. 토큰 보유가 대표자의 사업 운영권이나 기업의 의결권을 자동으로 부여하지 않는다.</w:t>
      </w:r>
    </w:p>
    <w:p>
      <w:r>
        <w:t>이용자는 공식 지원·커뮤니티 창구를 통해 기능 제안, 서비스 개선과 프로그램 운영 의견을 제출할 수 있다. 대표자는 주요 제안의 채택 여부와 사유를 가능한 범위에서 공유한다. 초기 의견 수렴은 자문 성격이며, 토큰 투표 결과가 계약상 자동 집행된다고 표시하지 않는다.</w:t>
      </w:r>
    </w:p>
    <w:p>
      <w:r>
        <w:t>후속 단계에 온체인 제안·투표를 도입하려면 안건 범위, 제안 자격, 정족수, 이해충돌과 집행 주체를 먼저 공개한다. 실제로 구현되고 효력이 정의되기 전에는 DAO 또는 독립 거버넌스가 운영 중이라고 설명하지 않는다. 고정 이자나 보유 수익을 주는 스테이킹은 v0.2의 일반 유틸리티 권리에 포함하지 않는다.</w:t>
      </w:r>
    </w:p>
    <w:p>
      <w:bookmarkStart w:id="21" w:name="section_21"/>
      <w:pPr>
        <w:pStyle w:val="Heading1"/>
      </w:pPr>
      <w:r>
        <w:t>20 확장성과 미래 방향</w:t>
      </w:r>
      <w:bookmarkEnd w:id="21"/>
    </w:p>
    <w:p>
      <w:pPr>
        <w:pStyle w:val="Heading2"/>
      </w:pPr>
      <w:r>
        <w:t>새로운 서비스가 같은 기반을 사용하게 한다</w:t>
      </w:r>
    </w:p>
    <w:p>
      <w:r>
        <w:t>새 게임이나 유틸리티 앱이 추가될 때마다 공통 계정, 상품 목록, 토큰 결제와 정산 인터페이스를 재사용하는 구조를 목표로 한다. 이미 보유한 지원 자산과 이용권의 상태를 확인할 수 있으면 사용자 이동이 쉬워지고, 파트너는 기존 생태계와 연결되는 통로를 확보할 수 있다.</w:t>
      </w:r>
    </w:p>
    <w:p>
      <w:r>
        <w:t>확장성의 핵심은 서비스 숫자보다 연동의 품질이다. 실제로 두 개 이상의 서비스를 사용하는 이용자 비중, 정산 성공률, 환불과 분쟁 해결, 창작자의 재참여율로 연결의 효과를 평가한다. 파트너가 추가되어도 상품 제공량과 권리가 정의되지 않으면 통합이 완료된 것으로 보지 않는다.</w:t>
      </w:r>
    </w:p>
    <w:p>
      <w:r>
        <w:t>초기에는 게임·앱 서버와 온체인 정산을 분리하고 필요한 결과만 기록해 비용을 관리한다. 서비스 규모가 커지면 묶음 정산, 보상 청구 최적화와 보안이 검토된 확장 경로를 순서대로 평가한다. 특정 TPS나 언제나 무료인 거래를 제품 보장으로 제시하지 않는다.</w:t>
      </w:r>
    </w:p>
    <w:p>
      <w:pPr>
        <w:pStyle w:val="Heading2"/>
      </w:pPr>
      <w:r>
        <w:t>AI 도구와 디지털 창작</w:t>
      </w:r>
    </w:p>
    <w:p>
      <w:r>
        <w:t>미래의 연동 후보로 AI 이미지·영상 보조 도구, 자동 편집, 창작물 관리와 협업 기능을 검토한다. 비용이 발생하는 연산과 저장공간은 서비스 제공량으로 측정하고, SURFX는 그 이용과 정산을 연결하는 역할을 맡는다. AI나 블록체인 기술의 명칭 자체보다 사용자가 완성한 결과물과 지불할 의사가 있는 효용으로 판단한다.</w:t>
      </w:r>
    </w:p>
    <w:p>
      <w:pPr>
        <w:pStyle w:val="Heading2"/>
      </w:pPr>
      <w:r>
        <w:t>장기적인 생태계 가치</w:t>
      </w:r>
    </w:p>
    <w:p>
      <w:r>
        <w:t>SurfX의 미래 지향성은 서비스 하나에 묶인 재화를 여러 경험에서 사용할 수 있는 구조, 파트너가 참여할 수 있는 개발 규격, 이용자가 확인할 수 있는 정산 내역에 있다. 생태계가 성장할수록 공용 토큰의 가능한 역할과 접점이 늘어날 수 있지만, 그 결과는 제품 실행, 실제 수요, 비용과 시장 상황에 달려 있다.</w:t>
      </w:r>
    </w:p>
    <w:p>
      <w:bookmarkStart w:id="22" w:name="section_22"/>
      <w:pPr>
        <w:pStyle w:val="Heading1"/>
      </w:pPr>
      <w:r>
        <w:t>21 단계별 개발 로드맵</w:t>
      </w:r>
      <w:bookmarkEnd w:id="22"/>
    </w:p>
    <w:p>
      <w:r>
        <w:t>로드맵은 개발·지원 여력을 고려한 단계별 목표다. 기간은 공식 착수 이후의 계획 범위이며 확정 출시일이 아니다. 개별 서비스는 정리 후 목록과 순서를 공개하고, 다음 단계는 이용 수요·재원·보안과 글로벌 제공 조건을 충족한 경우 진행한다.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44"/>
        <w:gridCol w:w="3744"/>
        <w:gridCol w:w="3816"/>
      </w:tblGrid>
      <w:tr>
        <w:trPr>
          <w:cantSplit/>
          <w:tblHeader/>
        </w:trPr>
        <w:tc>
          <w:tcPr>
            <w:tcW w:type="dxa" w:w="1944"/>
            <w:vAlign w:val="center"/>
            <w:shd w:fill="173E51"/>
          </w:tcPr>
          <w:p>
            <w:pPr>
              <w:keepNext/>
              <w:widowControl/>
              <w:spacing w:after="0" w:before="0" w:line="300" w:lineRule="exact"/>
              <w:jc w:val="center"/>
            </w:pPr>
            <w:r>
              <w:rPr>
                <w:rFonts w:ascii="Noto Sans CJK KR" w:hAnsi="Noto Sans CJK KR" w:eastAsia="Noto Sans CJK KR"/>
                <w:b/>
                <w:color w:val="FFFFFF"/>
                <w:sz w:val="20"/>
              </w:rPr>
              <w:t>단계와 목표 기간</w:t>
            </w:r>
          </w:p>
        </w:tc>
        <w:tc>
          <w:tcPr>
            <w:tcW w:type="dxa" w:w="3744"/>
            <w:vAlign w:val="center"/>
            <w:shd w:fill="173E51"/>
          </w:tcPr>
          <w:p>
            <w:pPr>
              <w:keepNext/>
              <w:widowControl/>
              <w:spacing w:after="0" w:before="0" w:line="300" w:lineRule="exact"/>
              <w:jc w:val="center"/>
            </w:pPr>
            <w:r>
              <w:rPr>
                <w:rFonts w:ascii="Noto Sans CJK KR" w:hAnsi="Noto Sans CJK KR" w:eastAsia="Noto Sans CJK KR"/>
                <w:b/>
                <w:color w:val="FFFFFF"/>
                <w:sz w:val="20"/>
              </w:rPr>
              <w:t>주요 결과물</w:t>
            </w:r>
          </w:p>
        </w:tc>
        <w:tc>
          <w:tcPr>
            <w:tcW w:type="dxa" w:w="3816"/>
            <w:vAlign w:val="center"/>
            <w:shd w:fill="173E51"/>
          </w:tcPr>
          <w:p>
            <w:pPr>
              <w:keepNext/>
              <w:widowControl/>
              <w:spacing w:after="0" w:before="0" w:line="300" w:lineRule="exact"/>
              <w:jc w:val="center"/>
            </w:pPr>
            <w:r>
              <w:rPr>
                <w:rFonts w:ascii="Noto Sans CJK KR" w:hAnsi="Noto Sans CJK KR" w:eastAsia="Noto Sans CJK KR"/>
                <w:b/>
                <w:color w:val="FFFFFF"/>
                <w:sz w:val="20"/>
              </w:rPr>
              <w:t>다음 단계로 넘어가는 조건</w:t>
            </w:r>
          </w:p>
        </w:tc>
      </w:tr>
      <w:tr>
        <w:trPr>
          <w:cantSplit/>
        </w:trPr>
        <w:tc>
          <w:tcPr>
            <w:tcW w:type="dxa" w:w="19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1단계</w:t>
              <w:br/>
              <w:t>착수 후 0~3개월</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출시 후보 목록, 상품·재화 정책, 공통 계정과 프로토타입</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대표자·지원 창구 기입, 초기 제공 범위와 실제 운영 예산 확정</w:t>
            </w:r>
          </w:p>
        </w:tc>
      </w:tr>
      <w:tr>
        <w:trPr>
          <w:cantSplit/>
        </w:trPr>
        <w:tc>
          <w:tcPr>
            <w:tcW w:type="dxa" w:w="19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2단계</w:t>
              <w:br/>
              <w:t>3~6개월</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선정된 핵심 서비스의 비토큰 베타, Wave Points와 이용권</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반복 이용, 서비스 수요와 부정사용 대응 검증</w:t>
            </w:r>
          </w:p>
        </w:tc>
      </w:tr>
      <w:tr>
        <w:trPr>
          <w:cantSplit/>
        </w:trPr>
        <w:tc>
          <w:tcPr>
            <w:tcW w:type="dxa" w:w="19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3단계</w:t>
              <w:br/>
              <w:t>6~9개월</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BSC 테스트넷, 토큰·베스팅·정산 계약과 제한 파일럿</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감사 지적 조치, 공급량 검증, 사고 대응과 정책 검토 완료</w:t>
            </w:r>
          </w:p>
        </w:tc>
      </w:tr>
      <w:tr>
        <w:trPr>
          <w:cantSplit/>
        </w:trPr>
        <w:tc>
          <w:tcPr>
            <w:tcW w:type="dxa" w:w="19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4단계</w:t>
              <w:br/>
              <w:t>9~12개월</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조건을 충족한 국가·채널의 제한 토큰 기능과 공통 결제</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실사용·환불·정산·대납 비용의 안정적 운영 확인</w:t>
            </w:r>
          </w:p>
        </w:tc>
      </w:tr>
      <w:tr>
        <w:trPr>
          <w:cantSplit/>
        </w:trPr>
        <w:tc>
          <w:tcPr>
            <w:tcW w:type="dxa" w:w="19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5단계</w:t>
              <w:br/>
              <w:t>12~24개월</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검증된 출시 서비스, 파트너 인터페이스와 콘텐츠 범위 확장</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검증된 파트너 수요와 지속가능한 서비스 손익</w:t>
            </w:r>
          </w:p>
        </w:tc>
      </w:tr>
    </w:tbl>
    <w:p>
      <w:pPr>
        <w:spacing w:after="0" w:before="0" w:line="240" w:lineRule="auto"/>
      </w:pPr>
      <w:r>
        <w:rPr>
          <w:sz w:val="8"/>
        </w:rPr>
      </w:r>
    </w:p>
    <w:p>
      <w:r>
        <w:t>초기 출시의 완성 기준은 토큰 보유자가 아니라 반복 이용자가 존재하고, 서로 다른 서비스 사이의 결제와 정산이 정상적으로 연결되는 것이다. 이 조건이 충족되지 않으면 발행과 확장 시점을 조정한다.</w:t>
      </w:r>
    </w:p>
    <w:p>
      <w:r>
        <w:t>시스템 트레이딩은 데이터 권한과 분석 도구 검증, 전략·백테스트와 모의매매, 조회 전용 계정 연동, 제한 실주문 순서로 개발한다. 실주문 공개는 API 사업자 조건·지역 검토·중복 주문 방지·중단과 복구 검증을 완료한 경우에 한한다. 기본 게임·앱 출시와 실주문 자동화의 승인 일정을 동일하게 보장하지 않는다.</w:t>
      </w:r>
    </w:p>
    <w:p>
      <w:bookmarkStart w:id="23" w:name="section_23"/>
      <w:pPr>
        <w:pStyle w:val="Heading1"/>
      </w:pPr>
      <w:r>
        <w:t>22 성과 지표와 공개 원칙</w:t>
      </w:r>
      <w:bookmarkEnd w:id="23"/>
    </w:p>
    <w:p>
      <w:r>
        <w:t>운영 지표는 사용자 수의 단순 증가와 실질적인 사용을 구분한다. 보상만 받는 계정과 실제 서비스를 이용한 계정, 재무고 내부 이동과 사용자 결제 거래를 분리해 측정하고 중복 계산을 피한다.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312"/>
        <w:gridCol w:w="6192"/>
      </w:tblGrid>
      <w:tr>
        <w:trPr>
          <w:cantSplit/>
          <w:tblHeader/>
        </w:trPr>
        <w:tc>
          <w:tcPr>
            <w:tcW w:type="dxa" w:w="3312"/>
            <w:vAlign w:val="center"/>
            <w:shd w:fill="173E51"/>
          </w:tcPr>
          <w:p>
            <w:pPr>
              <w:keepNext/>
              <w:widowControl/>
              <w:spacing w:after="0" w:before="0" w:line="300" w:lineRule="exact"/>
              <w:jc w:val="center"/>
            </w:pPr>
            <w:r>
              <w:rPr>
                <w:rFonts w:ascii="Noto Sans CJK KR" w:hAnsi="Noto Sans CJK KR" w:eastAsia="Noto Sans CJK KR"/>
                <w:b/>
                <w:color w:val="FFFFFF"/>
                <w:sz w:val="20"/>
              </w:rPr>
              <w:t>지표</w:t>
            </w:r>
          </w:p>
        </w:tc>
        <w:tc>
          <w:tcPr>
            <w:tcW w:type="dxa" w:w="6192"/>
            <w:vAlign w:val="center"/>
            <w:shd w:fill="173E51"/>
          </w:tcPr>
          <w:p>
            <w:pPr>
              <w:keepNext/>
              <w:widowControl/>
              <w:spacing w:after="0" w:before="0" w:line="300" w:lineRule="exact"/>
              <w:jc w:val="center"/>
            </w:pPr>
            <w:r>
              <w:rPr>
                <w:rFonts w:ascii="Noto Sans CJK KR" w:hAnsi="Noto Sans CJK KR" w:eastAsia="Noto Sans CJK KR"/>
                <w:b/>
                <w:color w:val="FFFFFF"/>
                <w:sz w:val="20"/>
              </w:rPr>
              <w:t>측정 목적</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보상 제외 재방문과 유료 이용</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토큰 지급 없이도 서비스 자체에 반복 수요가 있는지 확인</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서비스 간 이용 전환율</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한 이용자가 연결된 두 개 이상의 서비스를 실제로 사용하는지 확인</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실사용 결제와 정산 완료율</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내부 이동·취소를 제외한 이용 대금과 파트너 지급의 완결성 확인</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보상 대비 서비스 매출과 비용</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토큰 재원과 별개로 사업이 운영 현금흐름을 만드는지 점검</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부정사용과 이의신청 처리</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보상 누수, 오탐과 사용자 피해를 함께 측정</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해제와 실제 유통 물량</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잠금, 재무고, 지급과 시장 유통을 구분해 공급 변화 공개</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지갑 성공률과 가스 대납 원가</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사용자 진입 경험과 거래당 운영비의 지속가능성 확인</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트레이딩 도구의 실행 품질</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중복 주문, 미확정 상태, 주문·취소 결과 확인, 지연과 사용자 한도 준수 점검</w:t>
            </w:r>
          </w:p>
        </w:tc>
      </w:tr>
    </w:tbl>
    <w:p>
      <w:pPr>
        <w:spacing w:after="0" w:before="0" w:line="240" w:lineRule="auto"/>
      </w:pPr>
      <w:r>
        <w:rPr>
          <w:sz w:val="8"/>
        </w:rPr>
      </w:r>
    </w:p>
    <w:p>
      <w:r>
        <w:t>지표의 정의, 기간, 제외 항목을 함께 공개한다. 달성 근거가 없는 가입자 목표, 거래량 목표, 가격 목표와 상장 일정은 백서의 확정 실적으로 표시하지 않는다.</w:t>
      </w:r>
    </w:p>
    <w:p>
      <w:bookmarkStart w:id="24" w:name="section_24"/>
      <w:pPr>
        <w:pStyle w:val="Heading1"/>
      </w:pPr>
      <w:r>
        <w:t>23 출시 조건과 주요 위험</w:t>
      </w:r>
      <w:bookmarkEnd w:id="24"/>
    </w:p>
    <w:p>
      <w:r>
        <w:t>글로벌 전 세계를 목표로 하되 실제 서비스별 제공 기능과 지원 국가는 공개된 목록에 따른다. 아래 항목은 출시 과정에서 반영할 조건이며, 현재 전 세계의 영업·발행·판매 허가를 보유한다는 설명이 아니다.</w:t>
      </w:r>
    </w:p>
    <w:p>
      <w:pPr>
        <w:pStyle w:val="Heading2"/>
      </w:pPr>
      <w:r>
        <w:t>모바일 배포 정책</w:t>
      </w:r>
    </w:p>
    <w:p>
      <w:r>
        <w:t>Apple의 앱 심사 지침은 디지털 기능과 콘텐츠 결제에 인앱결제 원칙을 두고 암호화폐·지갑을 통한 기능 해제, 일부 암호화폐 과제 보상에 제한을 둔다. 국가·스토어프런트별 허용 경로와 예외는 별도로 확인해야 한다. 따라서 SURFX가 모든 iOS 앱의 유료 기능을 곧바로 열 수 있다고 전제하지 않는다. [5]</w:t>
      </w:r>
    </w:p>
    <w:p>
      <w:r>
        <w:t>Google Play는 토큰화 디지털 자산의 판매·획득 기능에 대한 신고와 수익 가능성 홍보 제한 등을 규정한다. SurfX는 배포 국가와 채널별로 기능을 구분하고 실제 심사 조건을 확인한다. 웹이나 PWA를 사용해도 해당 국가의 법률이 사라지는 것은 아니다. [6]</w:t>
      </w:r>
    </w:p>
    <w:p>
      <w:pPr>
        <w:pStyle w:val="Heading2"/>
      </w:pPr>
      <w:r>
        <w:t>게임 재화 전환과 서비스 지역</w:t>
      </w:r>
    </w:p>
    <w:p>
      <w:r>
        <w:t>한국의 게임산업법 제32조 제1항 제7호는 법령이 정한 게임 이용 결과물의 환전·환전 알선·재매입을 업으로 하는 행위를 금지한다. 구체적인 게임 설계와 재화 성격은 법률 및 등급분류 검토가 필요하다. 한국 대상 게임에서 현금성 토큰 전환을 기본 기능으로 약속하지 않으며, 비전환 포인트·콘텐츠 이용 모델을 우선 검토한다. [7][8]</w:t>
      </w:r>
    </w:p>
    <w:p>
      <w:r>
        <w:t>토큰을 유틸리티라고 부르는 것만으로 법적 성격이 정해지지 않는다. 발행 조건, 보유 권리, 판매 방식, 수탁·교환·정산 서비스와 대상 지역에 맞춰 필요한 신고, 이용자 확인과 소비자 보호 의무를 검토한다. 지역 제한은 실제 기능과 접근 제어에 반영하고 공개한다.</w:t>
      </w:r>
    </w:p>
    <w:p>
      <w:pPr>
        <w:pStyle w:val="Heading2"/>
      </w:pPr>
      <w:r>
        <w:t>경제와 기술 위험</w:t>
      </w:r>
    </w:p>
    <w:p>
      <w:r>
        <w:t>주요 위험은 토큰 가격 변동과 얕은 유동성, 보상 남용, 개발 지연, 스마트계약 오류, 지갑 복구 실패, 네트워크 혼잡, 파트너 서비스 종료와 관리자 권한 오용이다. 발행량 상한과 감사는 각각 공급 규칙과 코드 검토를 개선하지만 시장가격, 무중단 운영과 손실 방지를 보장하지 않는다.</w:t>
      </w:r>
    </w:p>
    <w:p>
      <w:r>
        <w:t>SURFX는 회사 지분이나 채권을 부여하도록 설계한 상품이 아니며, 확정 수익·원금 보장·상장 보장·상시 환금권을 제공하지 않는다. 실제 권리와 법적 분류는 최종 발행 문서와 적용 법률에 따라 확인한다. 백서의 주요 변경은 버전과 변경 이력으로 공개한다.</w:t>
      </w:r>
    </w:p>
    <w:p>
      <w:r>
        <w:t>개발 일정, 고객지원과 사고 대응은 운영 인력과 업무 여력에 영향을 받을 수 있다. 운영 규모에 맞는 단계적 출시와 비상 문서화로 관리하되, 이를 완전한 업무 연속성 보장으로 표시하지 않는다. 대표자 정보와 공식 연락처, 미집행 예산과 실제 계약 현황을 구분해 공개한다.</w:t>
      </w:r>
    </w:p>
    <w:p>
      <w:r>
        <w:t>시스템 트레이딩에는 투자 원금 손실, 전략 과최적화, 잘못된 데이터, 주문 지연·중복·미체결, 거래소·증권사 장애와 API 권한 유출의 위험이 있다. 백테스트와 모의매매의 성과는 실거래 결과를 보장하지 않는다. 구독료·SURFX 결제와 투자 손익을 구분하고, 시스템 기능의 책임과 사용자 설정·외부 제공사의 역할을 약관에 명시한다.</w:t>
      </w:r>
    </w:p>
    <w:p>
      <w:bookmarkStart w:id="25" w:name="section_25"/>
      <w:pPr>
        <w:pStyle w:val="Heading1"/>
      </w:pPr>
      <w:r>
        <w:t>24 공개 정보와 백서 변경 관리</w:t>
      </w:r>
      <w:bookmarkEnd w:id="25"/>
    </w:p>
    <w:p>
      <w:r>
        <w:t>본 백서는 대표자 운영, 텔레그램·왓츠앱·이메일 지원과 글로벌 전 세계 시장 지향을 기본 방향으로 반영했다. 출시 서비스는 정리 후 공개한다. 토큰은 일반적인 결제·이용권·보상·이전·정산 범위의 유틸리티 자산으로 설계하고, 공급·보안·재화·재원은 이 문서의 기준안을 따른다.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088"/>
        <w:gridCol w:w="7416"/>
      </w:tblGrid>
      <w:tr>
        <w:trPr>
          <w:cantSplit/>
          <w:tblHeader/>
        </w:trPr>
        <w:tc>
          <w:tcPr>
            <w:tcW w:type="dxa" w:w="2088"/>
            <w:vAlign w:val="center"/>
            <w:shd w:fill="173E51"/>
          </w:tcPr>
          <w:p>
            <w:pPr>
              <w:keepNext/>
              <w:widowControl/>
              <w:spacing w:after="0" w:before="0" w:line="300" w:lineRule="exact"/>
              <w:jc w:val="center"/>
            </w:pPr>
            <w:r>
              <w:rPr>
                <w:rFonts w:ascii="Noto Sans CJK KR" w:hAnsi="Noto Sans CJK KR" w:eastAsia="Noto Sans CJK KR"/>
                <w:b/>
                <w:color w:val="FFFFFF"/>
                <w:sz w:val="20"/>
              </w:rPr>
              <w:t>구분</w:t>
            </w:r>
          </w:p>
        </w:tc>
        <w:tc>
          <w:tcPr>
            <w:tcW w:type="dxa" w:w="7416"/>
            <w:vAlign w:val="center"/>
            <w:shd w:fill="173E51"/>
          </w:tcPr>
          <w:p>
            <w:pPr>
              <w:keepNext/>
              <w:widowControl/>
              <w:spacing w:after="0" w:before="0" w:line="300" w:lineRule="exact"/>
              <w:jc w:val="center"/>
            </w:pPr>
            <w:r>
              <w:rPr>
                <w:rFonts w:ascii="Noto Sans CJK KR" w:hAnsi="Noto Sans CJK KR" w:eastAsia="Noto Sans CJK KR"/>
                <w:b/>
                <w:color w:val="FFFFFF"/>
                <w:sz w:val="20"/>
              </w:rPr>
              <w:t>공개할 정보와 상태</w:t>
            </w:r>
          </w:p>
        </w:tc>
      </w:tr>
      <w:tr>
        <w:trPr>
          <w:cantSplit/>
        </w:trPr>
        <w:tc>
          <w:tcPr>
            <w:tcW w:type="dxa" w:w="20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운영자와 지원</w:t>
            </w:r>
          </w:p>
        </w:tc>
        <w:tc>
          <w:tcPr>
            <w:tcW w:type="dxa" w:w="7416"/>
            <w:vAlign w:val="center"/>
            <w:shd w:fill="FFFFFF"/>
          </w:tcPr>
          <w:p>
            <w:r>
              <w:t>운영 형태 기업, 상호 Neocode, 대표 박은성, 사업자등록번호 422-29-01059, 공식 이메일 neocode.kr@gmail.com. Telegram·WhatsApp은 개설 후 공개</w:t>
            </w:r>
          </w:p>
        </w:tc>
      </w:tr>
      <w:tr>
        <w:trPr>
          <w:cantSplit/>
        </w:trPr>
        <w:tc>
          <w:tcPr>
            <w:tcW w:type="dxa" w:w="20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출시 서비스</w:t>
            </w:r>
          </w:p>
        </w:tc>
        <w:tc>
          <w:tcPr>
            <w:tcW w:type="dxa" w:w="74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개별 서비스 목록과 기능, 트레이딩 지원 시장·제공사, 대상 국가·채널과 요금 정리 후 공개</w:t>
            </w:r>
          </w:p>
        </w:tc>
      </w:tr>
      <w:tr>
        <w:trPr>
          <w:cantSplit/>
        </w:trPr>
        <w:tc>
          <w:tcPr>
            <w:tcW w:type="dxa" w:w="20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토큰 공급</w:t>
            </w:r>
          </w:p>
        </w:tc>
        <w:tc>
          <w:tcPr>
            <w:tcW w:type="dxa" w:w="74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최종 발행 명세와 TGE 시점, 배분·잠금 지갑, 실제 유통량 산정 공개</w:t>
            </w:r>
          </w:p>
        </w:tc>
      </w:tr>
      <w:tr>
        <w:trPr>
          <w:cantSplit/>
        </w:trPr>
        <w:tc>
          <w:tcPr>
            <w:tcW w:type="dxa" w:w="20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계약과 보안</w:t>
            </w:r>
          </w:p>
        </w:tc>
        <w:tc>
          <w:tcPr>
            <w:tcW w:type="dxa" w:w="74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실제 계약 주소, 관리자 권한, 배포·검토·타임락 적용 현황 공개</w:t>
            </w:r>
          </w:p>
        </w:tc>
      </w:tr>
      <w:tr>
        <w:trPr>
          <w:cantSplit/>
        </w:trPr>
        <w:tc>
          <w:tcPr>
            <w:tcW w:type="dxa" w:w="20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재화 정책</w:t>
            </w:r>
          </w:p>
        </w:tc>
        <w:tc>
          <w:tcPr>
            <w:tcW w:type="dxa" w:w="74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전환 대상·비율·한도·예산과 확정 지급 의무를 프로그램별 공개</w:t>
            </w:r>
          </w:p>
        </w:tc>
      </w:tr>
      <w:tr>
        <w:trPr>
          <w:cantSplit/>
        </w:trPr>
        <w:tc>
          <w:tcPr>
            <w:tcW w:type="dxa" w:w="20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운영 재원</w:t>
            </w:r>
          </w:p>
        </w:tc>
        <w:tc>
          <w:tcPr>
            <w:tcW w:type="dxa" w:w="74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실제 투입 자기자금·확보 매출·준비금과 지출 내역을 기준으로 집계</w:t>
            </w:r>
          </w:p>
        </w:tc>
      </w:tr>
    </w:tbl>
    <w:p>
      <w:pPr>
        <w:spacing w:after="0" w:before="0" w:line="240" w:lineRule="auto"/>
      </w:pPr>
      <w:r>
        <w:rPr>
          <w:sz w:val="8"/>
        </w:rPr>
      </w:r>
    </w:p>
    <w:p>
      <w:r>
        <w:t>백서 수정 시 버전, 시행 시점과 변경 사유를 기록한다. 이미 확정된 토큰 공급·잠금 또는 이용자 지급 권리를 운영상 필요만으로 소급 변경하지 않는다. 중대한 서비스·권리 변경은 사용자에게 사전 안내하고 적용 정책과 법률에 따라 처리한다.</w:t>
      </w:r>
    </w:p>
    <w:p>
      <w:r>
        <w:t>본 개정본의 주요 변경은 대표자 운영과 지원 창구, 글로벌 제공 정책, 일반 유틸리티 권리, 대표자 및 장기 기여자 배분, 단독 운영의 키·재무 통제, 운영 재원 관리와 주식·코인 시스템 트레이딩 영역이다. 실제 서비스와 계약의 출시·감사·자금 확보 사실은 해당 증빙이 공개된 시점에 갱신한다.</w:t>
      </w:r>
    </w:p>
    <w:p>
      <w:r>
        <w:t>SurfX는 하나의 공용 토큰이 여러 서비스의 이용과 정산을 연결하는 생태계를 지향한다. 대표자가 책임지는 운영 구조 안에서 지원 상품과 권리, 재원과 집행 내역을 명확히 공개하고 실제 이용 수요에 맞춰 서비스를 확장한다.</w:t>
      </w:r>
    </w:p>
    <w:p>
      <w:r>
        <w:br w:type="page"/>
      </w:r>
    </w:p>
    <w:p>
      <w:bookmarkStart w:id="100" w:name="references"/>
      <w:pPr>
        <w:pStyle w:val="Heading1"/>
      </w:pPr>
      <w:r>
        <w:t>25 참고 자료</w:t>
      </w:r>
      <w:bookmarkEnd w:id="100"/>
    </w:p>
    <w:p>
      <w:r>
        <w:rPr>
          <w:rFonts w:ascii="Noto Sans CJK KR" w:hAnsi="Noto Sans CJK KR" w:eastAsia="Noto Sans CJK KR"/>
          <w:sz w:val="20"/>
        </w:rPr>
        <w:t>확인 기준일 2026년 10월 28일. 본문의 대괄호 번호는 아래 공식 자료에 대응한다. 운영 정책·목표 시장·지원 채널은 프로젝트 기본 방향이며, 서비스와 토큰 구현·수치·운영 세부정책은 발행 준비 기준안이다.</w:t>
      </w:r>
    </w:p>
    <w:p>
      <w:pPr>
        <w:keepNext/>
        <w:spacing w:after="40"/>
      </w:pPr>
      <w:r>
        <w:rPr>
          <w:rFonts w:ascii="Noto Sans CJK KR" w:hAnsi="Noto Sans CJK KR" w:eastAsia="Noto Sans CJK KR"/>
          <w:b/>
          <w:sz w:val="20"/>
        </w:rPr>
        <w:t>[1] BNB Chain  BSC Quick Guide</w:t>
      </w:r>
    </w:p>
    <w:p>
      <w:pPr>
        <w:keepNext w:val="0"/>
        <w:spacing w:after="140" w:line="260" w:lineRule="exact"/>
      </w:pPr>
      <w:hyperlink r:id="rId19">
        <w:r>
          <w:rPr>
            <w:rFonts w:ascii="Noto Sans CJK KR" w:hAnsi="Noto Sans CJK KR" w:eastAsia="Noto Sans CJK KR"/>
            <w:color w:val="173E51"/>
            <w:sz w:val="18"/>
          </w:rPr>
          <w:t>https://docs.bnbchain.org/bnb-smart-chain/developers/quick-guide/</w:t>
        </w:r>
      </w:hyperlink>
    </w:p>
    <w:p>
      <w:pPr>
        <w:keepNext/>
        <w:spacing w:after="40"/>
      </w:pPr>
      <w:r>
        <w:rPr>
          <w:rFonts w:ascii="Noto Sans CJK KR" w:hAnsi="Noto Sans CJK KR" w:eastAsia="Noto Sans CJK KR"/>
          <w:b/>
          <w:sz w:val="20"/>
        </w:rPr>
        <w:t>[2] BNB Chain  BEP 20 표준</w:t>
      </w:r>
    </w:p>
    <w:p>
      <w:pPr>
        <w:keepNext w:val="0"/>
        <w:spacing w:after="140" w:line="260" w:lineRule="exact"/>
      </w:pPr>
      <w:hyperlink r:id="rId20">
        <w:r>
          <w:rPr>
            <w:rFonts w:ascii="Noto Sans CJK KR" w:hAnsi="Noto Sans CJK KR" w:eastAsia="Noto Sans CJK KR"/>
            <w:color w:val="173E51"/>
            <w:sz w:val="18"/>
          </w:rPr>
          <w:t>https://github.com/bnb-chain/BEPs/blob/master/BEPs/BEP20.md</w:t>
        </w:r>
      </w:hyperlink>
    </w:p>
    <w:p>
      <w:pPr>
        <w:keepNext/>
        <w:spacing w:after="40"/>
      </w:pPr>
      <w:r>
        <w:rPr>
          <w:rFonts w:ascii="Noto Sans CJK KR" w:hAnsi="Noto Sans CJK KR" w:eastAsia="Noto Sans CJK KR"/>
          <w:b/>
          <w:sz w:val="20"/>
        </w:rPr>
        <w:t>[3] BNB Chain  EOA Paymaster Overview</w:t>
      </w:r>
    </w:p>
    <w:p>
      <w:pPr>
        <w:keepNext w:val="0"/>
        <w:spacing w:after="140" w:line="260" w:lineRule="exact"/>
      </w:pPr>
      <w:hyperlink r:id="rId21">
        <w:r>
          <w:rPr>
            <w:rFonts w:ascii="Noto Sans CJK KR" w:hAnsi="Noto Sans CJK KR" w:eastAsia="Noto Sans CJK KR"/>
            <w:color w:val="173E51"/>
            <w:sz w:val="18"/>
          </w:rPr>
          <w:t>https://docs.bnbchain.org/bnb-smart-chain/developers/paymaster/overview/</w:t>
        </w:r>
      </w:hyperlink>
    </w:p>
    <w:p>
      <w:pPr>
        <w:keepNext/>
        <w:spacing w:after="40"/>
      </w:pPr>
      <w:r>
        <w:rPr>
          <w:rFonts w:ascii="Noto Sans CJK KR" w:hAnsi="Noto Sans CJK KR" w:eastAsia="Noto Sans CJK KR"/>
          <w:b/>
          <w:sz w:val="20"/>
        </w:rPr>
        <w:t>[4] BNB Chain  Validator Overview</w:t>
      </w:r>
    </w:p>
    <w:p>
      <w:pPr>
        <w:keepNext w:val="0"/>
        <w:spacing w:after="140" w:line="260" w:lineRule="exact"/>
      </w:pPr>
      <w:hyperlink r:id="rId22">
        <w:r>
          <w:rPr>
            <w:rFonts w:ascii="Noto Sans CJK KR" w:hAnsi="Noto Sans CJK KR" w:eastAsia="Noto Sans CJK KR"/>
            <w:color w:val="173E51"/>
            <w:sz w:val="18"/>
          </w:rPr>
          <w:t>https://docs.bnbchain.org/bnb-smart-chain/validator/overview/</w:t>
        </w:r>
      </w:hyperlink>
    </w:p>
    <w:p>
      <w:pPr>
        <w:keepNext/>
        <w:spacing w:after="40"/>
      </w:pPr>
      <w:r>
        <w:rPr>
          <w:rFonts w:ascii="Noto Sans CJK KR" w:hAnsi="Noto Sans CJK KR" w:eastAsia="Noto Sans CJK KR"/>
          <w:b/>
          <w:sz w:val="20"/>
        </w:rPr>
        <w:t>[5] Apple  App Review Guidelines 3.1.1 및 3.1.5</w:t>
      </w:r>
    </w:p>
    <w:p>
      <w:pPr>
        <w:keepNext w:val="0"/>
        <w:spacing w:after="140" w:line="260" w:lineRule="exact"/>
      </w:pPr>
      <w:hyperlink r:id="rId29">
        <w:r>
          <w:rPr>
            <w:rFonts w:ascii="Noto Sans CJK KR" w:hAnsi="Noto Sans CJK KR" w:eastAsia="Noto Sans CJK KR"/>
            <w:color w:val="173E51"/>
            <w:sz w:val="18"/>
          </w:rPr>
          <w:t>https://developer.apple.com/app-store/review/guidelines/</w:t>
        </w:r>
      </w:hyperlink>
    </w:p>
    <w:p>
      <w:pPr>
        <w:keepNext/>
        <w:spacing w:after="40"/>
      </w:pPr>
      <w:r>
        <w:rPr>
          <w:rFonts w:ascii="Noto Sans CJK KR" w:hAnsi="Noto Sans CJK KR" w:eastAsia="Noto Sans CJK KR"/>
          <w:b/>
          <w:sz w:val="20"/>
        </w:rPr>
        <w:t>[6] Google Play  Blockchain based Content</w:t>
      </w:r>
    </w:p>
    <w:p>
      <w:pPr>
        <w:keepNext w:val="0"/>
        <w:spacing w:after="140" w:line="260" w:lineRule="exact"/>
      </w:pPr>
      <w:hyperlink r:id="rId30">
        <w:r>
          <w:rPr>
            <w:rFonts w:ascii="Noto Sans CJK KR" w:hAnsi="Noto Sans CJK KR" w:eastAsia="Noto Sans CJK KR"/>
            <w:color w:val="173E51"/>
            <w:sz w:val="18"/>
          </w:rPr>
          <w:t>https://support.google.com/googleplay/android-developer/answer/13607354?hl=en</w:t>
        </w:r>
      </w:hyperlink>
    </w:p>
    <w:p>
      <w:pPr>
        <w:keepNext/>
        <w:spacing w:after="40"/>
      </w:pPr>
      <w:r>
        <w:rPr>
          <w:rFonts w:ascii="Noto Sans CJK KR" w:hAnsi="Noto Sans CJK KR" w:eastAsia="Noto Sans CJK KR"/>
          <w:b/>
          <w:sz w:val="20"/>
        </w:rPr>
        <w:t>[7] 국가법령정보센터  게임산업진흥에 관한 법률 제32조 제1항 제7호</w:t>
      </w:r>
    </w:p>
    <w:p>
      <w:pPr>
        <w:keepNext w:val="0"/>
        <w:spacing w:after="140" w:line="260" w:lineRule="exact"/>
      </w:pPr>
      <w:hyperlink r:id="rId31">
        <w:r>
          <w:rPr>
            <w:rFonts w:ascii="Noto Sans CJK KR" w:hAnsi="Noto Sans CJK KR" w:eastAsia="Noto Sans CJK KR"/>
            <w:color w:val="173E51"/>
            <w:sz w:val="18"/>
          </w:rPr>
          <w:t>https://www.law.go.kr/lsLinkCommonInfo.do?chrClsCd=010202&amp;lsJoLnkSeq=1024558617</w:t>
        </w:r>
      </w:hyperlink>
    </w:p>
    <w:p>
      <w:pPr>
        <w:keepNext/>
        <w:spacing w:after="40"/>
      </w:pPr>
      <w:r>
        <w:rPr>
          <w:rFonts w:ascii="Noto Sans CJK KR" w:hAnsi="Noto Sans CJK KR" w:eastAsia="Noto Sans CJK KR"/>
          <w:b/>
          <w:sz w:val="20"/>
        </w:rPr>
        <w:t>[8] 국가법령정보센터  게임산업진흥에 관한 법률 시행령 제18조의4</w:t>
      </w:r>
    </w:p>
    <w:p>
      <w:pPr>
        <w:keepNext w:val="0"/>
        <w:spacing w:after="140" w:line="260" w:lineRule="exact"/>
      </w:pPr>
      <w:hyperlink r:id="rId32">
        <w:r>
          <w:rPr>
            <w:rFonts w:ascii="Noto Sans CJK KR" w:hAnsi="Noto Sans CJK KR" w:eastAsia="Noto Sans CJK KR"/>
            <w:color w:val="173E51"/>
            <w:sz w:val="18"/>
          </w:rPr>
          <w:t>https://law.go.kr/LSW/lsLinkCommonInfo.do?lspttninfSeq=56613</w:t>
        </w:r>
      </w:hyperlink>
    </w:p>
    <w:p>
      <w:pPr>
        <w:keepNext/>
        <w:spacing w:after="40"/>
      </w:pPr>
      <w:r>
        <w:rPr>
          <w:rFonts w:ascii="Noto Sans CJK KR" w:hAnsi="Noto Sans CJK KR" w:eastAsia="Noto Sans CJK KR"/>
          <w:b/>
          <w:sz w:val="20"/>
        </w:rPr>
        <w:t>[9] 한국투자증권  Open API 서비스 소개와 제휴안내</w:t>
      </w:r>
    </w:p>
    <w:p>
      <w:pPr>
        <w:keepNext/>
        <w:spacing w:after="40" w:line="260" w:lineRule="exact"/>
      </w:pPr>
      <w:hyperlink r:id="rId33">
        <w:r>
          <w:rPr>
            <w:rFonts w:ascii="Noto Sans CJK KR" w:hAnsi="Noto Sans CJK KR" w:eastAsia="Noto Sans CJK KR"/>
            <w:color w:val="173E51"/>
            <w:sz w:val="18"/>
          </w:rPr>
          <w:t>https://apiportal.koreainvestment.com/about-open-api</w:t>
        </w:r>
      </w:hyperlink>
    </w:p>
    <w:p>
      <w:pPr>
        <w:keepNext w:val="0"/>
        <w:spacing w:after="140" w:line="260" w:lineRule="exact"/>
      </w:pPr>
      <w:hyperlink r:id="rId34">
        <w:r>
          <w:rPr>
            <w:rFonts w:ascii="Noto Sans CJK KR" w:hAnsi="Noto Sans CJK KR" w:eastAsia="Noto Sans CJK KR"/>
            <w:color w:val="173E51"/>
            <w:sz w:val="18"/>
          </w:rPr>
          <w:t>https://apiportal.koreainvestment.com/provider</w:t>
        </w:r>
      </w:hyperlink>
    </w:p>
    <w:p>
      <w:pPr>
        <w:keepNext/>
        <w:spacing w:after="40"/>
      </w:pPr>
      <w:r>
        <w:rPr>
          <w:rFonts w:ascii="Noto Sans CJK KR" w:hAnsi="Noto Sans CJK KR" w:eastAsia="Noto Sans CJK KR"/>
          <w:b/>
          <w:sz w:val="20"/>
        </w:rPr>
        <w:t>[10] 한국투자증권  공식 Open Trading API 예제</w:t>
      </w:r>
    </w:p>
    <w:p>
      <w:pPr>
        <w:keepNext w:val="0"/>
        <w:spacing w:after="140" w:line="260" w:lineRule="exact"/>
      </w:pPr>
      <w:hyperlink r:id="rId35">
        <w:r>
          <w:rPr>
            <w:rFonts w:ascii="Noto Sans CJK KR" w:hAnsi="Noto Sans CJK KR" w:eastAsia="Noto Sans CJK KR"/>
            <w:color w:val="173E51"/>
            <w:sz w:val="18"/>
          </w:rPr>
          <w:t>https://github.com/koreainvestment/open-trading-api</w:t>
        </w:r>
      </w:hyperlink>
    </w:p>
    <w:p>
      <w:pPr>
        <w:keepNext/>
        <w:spacing w:after="40"/>
      </w:pPr>
      <w:r>
        <w:rPr>
          <w:rFonts w:ascii="Noto Sans CJK KR" w:hAnsi="Noto Sans CJK KR" w:eastAsia="Noto Sans CJK KR"/>
          <w:b/>
          <w:sz w:val="20"/>
        </w:rPr>
        <w:t>[11] Alpaca  Paper Trading 공식 문서</w:t>
      </w:r>
    </w:p>
    <w:p>
      <w:pPr>
        <w:keepNext w:val="0"/>
        <w:spacing w:after="140" w:line="260" w:lineRule="exact"/>
      </w:pPr>
      <w:hyperlink r:id="rId36">
        <w:r>
          <w:rPr>
            <w:rFonts w:ascii="Noto Sans CJK KR" w:hAnsi="Noto Sans CJK KR" w:eastAsia="Noto Sans CJK KR"/>
            <w:color w:val="173E51"/>
            <w:sz w:val="18"/>
          </w:rPr>
          <w:t>https://docs.alpaca.markets/us/docs/paper-trading</w:t>
        </w:r>
      </w:hyperlink>
    </w:p>
    <w:p>
      <w:pPr>
        <w:keepNext/>
        <w:spacing w:after="40"/>
      </w:pPr>
      <w:r>
        <w:rPr>
          <w:rFonts w:ascii="Noto Sans CJK KR" w:hAnsi="Noto Sans CJK KR" w:eastAsia="Noto Sans CJK KR"/>
          <w:b/>
          <w:sz w:val="20"/>
        </w:rPr>
        <w:t>[12] Binance  Spot REST API와 요청 보안 공식 문서</w:t>
      </w:r>
    </w:p>
    <w:p>
      <w:pPr>
        <w:keepNext/>
        <w:spacing w:after="40" w:line="260" w:lineRule="exact"/>
      </w:pPr>
      <w:hyperlink r:id="rId37">
        <w:r>
          <w:rPr>
            <w:rFonts w:ascii="Noto Sans CJK KR" w:hAnsi="Noto Sans CJK KR" w:eastAsia="Noto Sans CJK KR"/>
            <w:color w:val="173E51"/>
            <w:sz w:val="18"/>
          </w:rPr>
          <w:t>https://developers.binance.com/en/docs/products/spot/rest-api</w:t>
        </w:r>
      </w:hyperlink>
    </w:p>
    <w:p>
      <w:pPr>
        <w:keepNext w:val="0"/>
        <w:spacing w:after="140" w:line="260" w:lineRule="exact"/>
      </w:pPr>
      <w:hyperlink r:id="rId38">
        <w:r>
          <w:rPr>
            <w:rFonts w:ascii="Noto Sans CJK KR" w:hAnsi="Noto Sans CJK KR" w:eastAsia="Noto Sans CJK KR"/>
            <w:color w:val="173E51"/>
            <w:sz w:val="18"/>
          </w:rPr>
          <w:t>https://github.com/binance/binance-spot-api-docs/blob/master/rest-api.md</w:t>
        </w:r>
      </w:hyperlink>
    </w:p>
    <w:p>
      <w:pPr>
        <w:keepNext/>
        <w:spacing w:after="40"/>
      </w:pPr>
      <w:r>
        <w:rPr>
          <w:rFonts w:ascii="Noto Sans CJK KR" w:hAnsi="Noto Sans CJK KR" w:eastAsia="Noto Sans CJK KR"/>
          <w:b/>
          <w:sz w:val="20"/>
        </w:rPr>
        <w:t>[13] SEC Investor.gov  Investor Bulletin Robo Advisers</w:t>
      </w:r>
    </w:p>
    <w:p>
      <w:pPr>
        <w:keepNext w:val="0"/>
        <w:spacing w:after="140" w:line="260" w:lineRule="exact"/>
      </w:pPr>
      <w:hyperlink r:id="rId39">
        <w:r>
          <w:rPr>
            <w:rFonts w:ascii="Noto Sans CJK KR" w:hAnsi="Noto Sans CJK KR" w:eastAsia="Noto Sans CJK KR"/>
            <w:color w:val="173E51"/>
            <w:sz w:val="18"/>
          </w:rPr>
          <w:t>https://www.investor.gov/introduction-investing/general-resources/news-alerts/alerts-bulletins/investor-bulletins-45</w:t>
        </w:r>
      </w:hyperlink>
    </w:p>
    <w:sectPr w:rsidR="00FC693F" w:rsidRPr="0006063C" w:rsidSect="00034616">
      <w:footerReference w:type="default" r:id="rId9"/>
      <w:pgSz w:w="12240" w:h="15840"/>
      <w:pgMar w:top="1123" w:right="1368" w:bottom="1080" w:left="1368"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666"/>
        <w:sz w:val="18"/>
      </w:rPr>
      <w:t xml:space="preserve">SurfX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60"/>
    </w:pPr>
    <w:rPr>
      <w:rFonts w:ascii="Noto Sans CJK KR" w:hAnsi="Noto Sans CJK KR" w:eastAsia="Noto Sans CJK KR" w:cs="Noto Sans CJK KR"/>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cs="Noto Sans CJK KR"/>
      <w:b w:val="0"/>
      <w:i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480" w:lineRule="exact"/>
      <w:outlineLvl w:val="0"/>
    </w:pPr>
    <w:rPr>
      <w:rFonts w:ascii="Noto Sans CJK KR" w:hAnsi="Noto Sans CJK KR" w:eastAsia="Noto Sans CJK KR" w:cs="Noto Sans CJK KR"/>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line="360" w:lineRule="exact"/>
      <w:outlineLvl w:val="1"/>
    </w:pPr>
    <w:rPr>
      <w:rFonts w:ascii="Noto Sans CJK KR" w:hAnsi="Noto Sans CJK KR" w:eastAsia="Noto Sans CJK KR" w:cs="Noto Sans CJK KR"/>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760" w:lineRule="exact"/>
      <w:contextualSpacing/>
    </w:pPr>
    <w:rPr>
      <w:rFonts w:ascii="Noto Sans CJK KR" w:hAnsi="Noto Sans CJK KR" w:eastAsia="Noto Sans CJK KR" w:cs="Noto Sans CJK KR"/>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460" w:lineRule="exact"/>
    </w:pPr>
    <w:rPr>
      <w:rFonts w:ascii="Noto Sans CJK KR" w:hAnsi="Noto Sans CJK KR" w:eastAsia="Noto Sans CJK KR" w:cs="Noto Sans CJK KR"/>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s="Noto Sans CJK KR"/>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hitepaper.marina-protocol.com/overview/structure" TargetMode="External"/><Relationship Id="rId11" Type="http://schemas.openxmlformats.org/officeDocument/2006/relationships/hyperlink" Target="https://whitepaper.marina-protocol.com/platform/daily-reward-hub" TargetMode="External"/><Relationship Id="rId12" Type="http://schemas.openxmlformats.org/officeDocument/2006/relationships/hyperlink" Target="https://whitepaper.marina-protocol.com/bay/framework" TargetMode="External"/><Relationship Id="rId13" Type="http://schemas.openxmlformats.org/officeDocument/2006/relationships/hyperlink" Target="https://whitepaper.marina-protocol.com/bay/tokenomics" TargetMode="External"/><Relationship Id="rId14" Type="http://schemas.openxmlformats.org/officeDocument/2006/relationships/hyperlink" Target="https://whitepaper.marina-protocol.com/roadmap/next-phases" TargetMode="External"/><Relationship Id="rId15" Type="http://schemas.openxmlformats.org/officeDocument/2006/relationships/hyperlink" Target="https://installers.sandbox.game/The_Sandbox_Whitepaper_2020.pdf" TargetMode="External"/><Relationship Id="rId16" Type="http://schemas.openxmlformats.org/officeDocument/2006/relationships/hyperlink" Target="https://docs.sandbox.game/en/owners/sand" TargetMode="External"/><Relationship Id="rId17" Type="http://schemas.openxmlformats.org/officeDocument/2006/relationships/hyperlink" Target="https://whitepaper.axieinfinity.com/gameplay/axie-population-and-long-term-sustainability" TargetMode="External"/><Relationship Id="rId18" Type="http://schemas.openxmlformats.org/officeDocument/2006/relationships/hyperlink" Target="https://www.immutable.com/passport" TargetMode="External"/><Relationship Id="rId19" Type="http://schemas.openxmlformats.org/officeDocument/2006/relationships/hyperlink" Target="https://docs.bnbchain.org/bnb-smart-chain/developers/quick-guide/" TargetMode="External"/><Relationship Id="rId20" Type="http://schemas.openxmlformats.org/officeDocument/2006/relationships/hyperlink" Target="https://github.com/bnb-chain/BEPs/blob/master/BEPs/BEP20.md" TargetMode="External"/><Relationship Id="rId21" Type="http://schemas.openxmlformats.org/officeDocument/2006/relationships/hyperlink" Target="https://docs.bnbchain.org/bnb-smart-chain/developers/paymaster/overview/" TargetMode="External"/><Relationship Id="rId22" Type="http://schemas.openxmlformats.org/officeDocument/2006/relationships/hyperlink" Target="https://docs.bnbchain.org/bnb-smart-chain/validator/overview/" TargetMode="External"/><Relationship Id="rId23" Type="http://schemas.openxmlformats.org/officeDocument/2006/relationships/hyperlink" Target="https://ethereum.org/developers/docs/gas/" TargetMode="External"/><Relationship Id="rId24" Type="http://schemas.openxmlformats.org/officeDocument/2006/relationships/hyperlink" Target="https://docs.base.org/get-started/connect-to-base" TargetMode="External"/><Relationship Id="rId25" Type="http://schemas.openxmlformats.org/officeDocument/2006/relationships/hyperlink" Target="https://docs.base.org/specifications/transactions/transaction-finality" TargetMode="External"/><Relationship Id="rId26" Type="http://schemas.openxmlformats.org/officeDocument/2006/relationships/hyperlink" Target="https://solana.com/docs/payments/send-payments/payment-processing/fee-abstraction" TargetMode="External"/><Relationship Id="rId27" Type="http://schemas.openxmlformats.org/officeDocument/2006/relationships/hyperlink" Target="https://solana.com/docs/tokens" TargetMode="External"/><Relationship Id="rId28" Type="http://schemas.openxmlformats.org/officeDocument/2006/relationships/hyperlink" Target="https://docs.bnbchain.org/bnb-opbnb/overview/" TargetMode="External"/><Relationship Id="rId29" Type="http://schemas.openxmlformats.org/officeDocument/2006/relationships/hyperlink" Target="https://developer.apple.com/app-store/review/guidelines/" TargetMode="External"/><Relationship Id="rId30" Type="http://schemas.openxmlformats.org/officeDocument/2006/relationships/hyperlink" Target="https://support.google.com/googleplay/android-developer/answer/13607354?hl=en" TargetMode="External"/><Relationship Id="rId31" Type="http://schemas.openxmlformats.org/officeDocument/2006/relationships/hyperlink" Target="https://www.law.go.kr/lsLinkCommonInfo.do?chrClsCd=010202&amp;lsJoLnkSeq=1024558617" TargetMode="External"/><Relationship Id="rId32" Type="http://schemas.openxmlformats.org/officeDocument/2006/relationships/hyperlink" Target="https://law.go.kr/LSW/lsLinkCommonInfo.do?lspttninfSeq=56613" TargetMode="External"/><Relationship Id="rId33" Type="http://schemas.openxmlformats.org/officeDocument/2006/relationships/hyperlink" Target="https://apiportal.koreainvestment.com/about-open-api" TargetMode="External"/><Relationship Id="rId34" Type="http://schemas.openxmlformats.org/officeDocument/2006/relationships/hyperlink" Target="https://apiportal.koreainvestment.com/provider" TargetMode="External"/><Relationship Id="rId35" Type="http://schemas.openxmlformats.org/officeDocument/2006/relationships/hyperlink" Target="https://github.com/koreainvestment/open-trading-api" TargetMode="External"/><Relationship Id="rId36" Type="http://schemas.openxmlformats.org/officeDocument/2006/relationships/hyperlink" Target="https://docs.alpaca.markets/us/docs/paper-trading" TargetMode="External"/><Relationship Id="rId37" Type="http://schemas.openxmlformats.org/officeDocument/2006/relationships/hyperlink" Target="https://developers.binance.com/en/docs/products/spot/rest-api" TargetMode="External"/><Relationship Id="rId38" Type="http://schemas.openxmlformats.org/officeDocument/2006/relationships/hyperlink" Target="https://github.com/binance/binance-spot-api-docs/blob/master/rest-api.md" TargetMode="External"/><Relationship Id="rId39" Type="http://schemas.openxmlformats.org/officeDocument/2006/relationships/hyperlink" Target="https://www.investor.gov/introduction-investing/general-resources/news-alerts/alerts-bulletins/investor-bulletins-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SurfX 생태계와 공용 토큰 백서</dc:title>
  <dc:subject>1인 기업 글로벌 운영과 주식 코인 시스템 트레이딩을 포함한 SurfX 공용 토큰 백서</dc:subject>
  <dc:creator>SurfX</dc:creator>
  <cp:keywords>SurfX, SURFX, BNB Smart Chain, BEP-20, 모바일 게임, 유틸리티 앱</cp:keywords>
  <dc:description/>
  <cp:lastModifiedBy/>
  <cp:revision>1</cp:revision>
  <dcterms:created xsi:type="dcterms:W3CDTF">2013-12-23T23:15:00Z</dcterms:created>
  <dcterms:modified xsi:type="dcterms:W3CDTF">2013-12-23T23:15:00Z</dcterms:modified>
  <cp:category/>
</cp:coreProperties>
</file>