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p>
      <w:r>
        <w:br w:type="page"/>
      </w:r>
    </w:p>
    <w:p>
      <w:pPr>
        <w:jc w:val="center"/>
      </w:pPr>
      <w:r>
        <w:rPr>
          <w:b/>
        </w:rPr>
        <w:t>LAMPIRAN: PETA PELAPORAN TRIPOD+AI</w:t>
      </w:r>
    </w:p>
    <w:p>
      <w:r>
        <w:t>Peta ini menunjukkan lokasi pelaporan 17 domain utama.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vAlign w:val="center"/>
          </w:tcPr>
          <w:p>
            <w:r>
              <w:t>1. Judul dan jenis studi</w:t>
            </w:r>
          </w:p>
        </w:tc>
        <w:tc>
          <w:tcPr>
            <w:tcW w:type="dxa" w:w="4819"/>
            <w:vAlign w:val="center"/>
          </w:tcPr>
          <w:p>
            <w:r>
              <w:t>Judul/abstrak: model prediksi, luaran, populasi, dan validasi internal disebutkan.</w:t>
            </w:r>
          </w:p>
        </w:tc>
      </w:tr>
      <w:tr>
        <w:tc>
          <w:tcPr>
            <w:tcW w:type="dxa" w:w="4819"/>
            <w:vAlign w:val="center"/>
          </w:tcPr>
          <w:p>
            <w:r>
              <w:t>2. Ringkasan terstruktur</w:t>
            </w:r>
          </w:p>
        </w:tc>
        <w:tc>
          <w:tcPr>
            <w:tcW w:type="dxa" w:w="4819"/>
            <w:vAlign w:val="center"/>
          </w:tcPr>
          <w:p>
            <w:r>
              <w:t>Abstrak: desain, ukuran sampel, kejadian, prediktor, validasi, dan metrik utama.</w:t>
            </w:r>
          </w:p>
        </w:tc>
      </w:tr>
      <w:tr>
        <w:tc>
          <w:tcPr>
            <w:tcW w:type="dxa" w:w="4819"/>
            <w:vAlign w:val="center"/>
          </w:tcPr>
          <w:p>
            <w:r>
              <w:t>3. Latar belakang dan tujuan</w:t>
            </w:r>
          </w:p>
        </w:tc>
        <w:tc>
          <w:tcPr>
            <w:tcW w:type="dxa" w:w="4819"/>
            <w:vAlign w:val="center"/>
          </w:tcPr>
          <w:p>
            <w:r>
              <w:t>Bagian 1.1 sampai 1.3: konteks klinis, model pembanding, dan tujuan.</w:t>
            </w:r>
          </w:p>
        </w:tc>
      </w:tr>
      <w:tr>
        <w:tc>
          <w:tcPr>
            <w:tcW w:type="dxa" w:w="4819"/>
            <w:vAlign w:val="center"/>
          </w:tcPr>
          <w:p>
            <w:r>
              <w:t>4. Sumber data dan waktu</w:t>
            </w:r>
          </w:p>
        </w:tc>
        <w:tc>
          <w:tcPr>
            <w:tcW w:type="dxa" w:w="4819"/>
            <w:vAlign w:val="center"/>
          </w:tcPr>
          <w:p>
            <w:r>
              <w:t>Bagian 2.2 sampai 2.3: Makassar ACS Registry, pusat studi, dan periode 2024 sampai 2025.</w:t>
            </w:r>
          </w:p>
        </w:tc>
      </w:tr>
      <w:tr>
        <w:tc>
          <w:tcPr>
            <w:tcW w:type="dxa" w:w="4819"/>
            <w:vAlign w:val="center"/>
          </w:tcPr>
          <w:p>
            <w:r>
              <w:t>5. Partisipan</w:t>
            </w:r>
          </w:p>
        </w:tc>
        <w:tc>
          <w:tcPr>
            <w:tcW w:type="dxa" w:w="4819"/>
            <w:vAlign w:val="center"/>
          </w:tcPr>
          <w:p>
            <w:r>
              <w:t>Bagian 2.3 sampai 2.4: populasi, total sampling, inklusi, dan eksklusi.</w:t>
            </w:r>
          </w:p>
        </w:tc>
      </w:tr>
      <w:tr>
        <w:tc>
          <w:tcPr>
            <w:tcW w:type="dxa" w:w="4819"/>
            <w:vAlign w:val="center"/>
          </w:tcPr>
          <w:p>
            <w:r>
              <w:t>6. Luaran</w:t>
            </w:r>
          </w:p>
        </w:tc>
        <w:tc>
          <w:tcPr>
            <w:tcW w:type="dxa" w:w="4819"/>
            <w:vAlign w:val="center"/>
          </w:tcPr>
          <w:p>
            <w:r>
              <w:t>Bagian 2.6 dan Tabel 2.1: mortalitas in-hospital, sumber, waktu, dan pengodean.</w:t>
            </w:r>
          </w:p>
        </w:tc>
      </w:tr>
      <w:tr>
        <w:tc>
          <w:tcPr>
            <w:tcW w:type="dxa" w:w="4819"/>
            <w:vAlign w:val="center"/>
          </w:tcPr>
          <w:p>
            <w:r>
              <w:t>7. Prediktor</w:t>
            </w:r>
          </w:p>
        </w:tc>
        <w:tc>
          <w:tcPr>
            <w:tcW w:type="dxa" w:w="4819"/>
            <w:vAlign w:val="center"/>
          </w:tcPr>
          <w:p>
            <w:r>
              <w:t>Bagian 2.5 dan 2.7: definisi 13 prediktor, satuan, dan waktu pengukuran.</w:t>
            </w:r>
          </w:p>
        </w:tc>
      </w:tr>
      <w:tr>
        <w:tc>
          <w:tcPr>
            <w:tcW w:type="dxa" w:w="4819"/>
            <w:vAlign w:val="center"/>
          </w:tcPr>
          <w:p>
            <w:r>
              <w:t>8. Ukuran sampel</w:t>
            </w:r>
          </w:p>
        </w:tc>
        <w:tc>
          <w:tcPr>
            <w:tcW w:type="dxa" w:w="4819"/>
            <w:vAlign w:val="center"/>
          </w:tcPr>
          <w:p>
            <w:r>
              <w:t>Bagian 2.3 dan 4.10: N=1.524, 115 kejadian, dan keterbatasan event count.</w:t>
            </w:r>
          </w:p>
        </w:tc>
      </w:tr>
      <w:tr>
        <w:tc>
          <w:tcPr>
            <w:tcW w:type="dxa" w:w="4819"/>
            <w:vAlign w:val="center"/>
          </w:tcPr>
          <w:p>
            <w:r>
              <w:t>9. Data hilang</w:t>
            </w:r>
          </w:p>
        </w:tc>
        <w:tc>
          <w:tcPr>
            <w:tcW w:type="dxa" w:w="4819"/>
            <w:vAlign w:val="center"/>
          </w:tcPr>
          <w:p>
            <w:r>
              <w:t>Bagian 2.8 sampai 2.9: median per-fold dipelajari hanya dari training fold.</w:t>
            </w:r>
          </w:p>
        </w:tc>
      </w:tr>
      <w:tr>
        <w:tc>
          <w:tcPr>
            <w:tcW w:type="dxa" w:w="4819"/>
            <w:vAlign w:val="center"/>
          </w:tcPr>
          <w:p>
            <w:r>
              <w:t>10. Pengembangan model</w:t>
            </w:r>
          </w:p>
        </w:tc>
        <w:tc>
          <w:tcPr>
            <w:tcW w:type="dxa" w:w="4819"/>
            <w:vAlign w:val="center"/>
          </w:tcPr>
          <w:p>
            <w:r>
              <w:t>Bagian 2.9: algoritma, hiperparameter, serta prosedur fitting.</w:t>
            </w:r>
          </w:p>
        </w:tc>
      </w:tr>
      <w:tr>
        <w:tc>
          <w:tcPr>
            <w:tcW w:type="dxa" w:w="4819"/>
            <w:vAlign w:val="center"/>
          </w:tcPr>
          <w:p>
            <w:r>
              <w:t>11. Validasi internal</w:t>
            </w:r>
          </w:p>
        </w:tc>
        <w:tc>
          <w:tcPr>
            <w:tcW w:type="dxa" w:w="4819"/>
            <w:vAlign w:val="center"/>
          </w:tcPr>
          <w:p>
            <w:r>
              <w:t>Bagian 2.9: 10 seed kali 5-fold StratifiedKFold dan prediksi out-of-fold.</w:t>
            </w:r>
          </w:p>
        </w:tc>
      </w:tr>
      <w:tr>
        <w:tc>
          <w:tcPr>
            <w:tcW w:type="dxa" w:w="4819"/>
            <w:vAlign w:val="center"/>
          </w:tcPr>
          <w:p>
            <w:r>
              <w:t>12. Ukuran performa</w:t>
            </w:r>
          </w:p>
        </w:tc>
        <w:tc>
          <w:tcPr>
            <w:tcW w:type="dxa" w:w="4819"/>
            <w:vAlign w:val="center"/>
          </w:tcPr>
          <w:p>
            <w:r>
              <w:t>Bagian 2.9 dan 3.2: AUC, AUPRC, Brier score, sensitivitas, spesifisitas, PPV, dan NPV.</w:t>
            </w:r>
          </w:p>
        </w:tc>
      </w:tr>
      <w:tr>
        <w:tc>
          <w:tcPr>
            <w:tcW w:type="dxa" w:w="4819"/>
            <w:vAlign w:val="center"/>
          </w:tcPr>
          <w:p>
            <w:r>
              <w:t>13. Alur dan karakteristik partisipan</w:t>
            </w:r>
          </w:p>
        </w:tc>
        <w:tc>
          <w:tcPr>
            <w:tcW w:type="dxa" w:w="4819"/>
            <w:vAlign w:val="center"/>
          </w:tcPr>
          <w:p>
            <w:r>
              <w:t>Bagian 3.1, Gambar 3.1, serta Tabel 3.1 sampai 3.2.</w:t>
            </w:r>
          </w:p>
        </w:tc>
      </w:tr>
      <w:tr>
        <w:tc>
          <w:tcPr>
            <w:tcW w:type="dxa" w:w="4819"/>
            <w:vAlign w:val="center"/>
          </w:tcPr>
          <w:p>
            <w:r>
              <w:t>14. Spesifikasi model</w:t>
            </w:r>
          </w:p>
        </w:tc>
        <w:tc>
          <w:tcPr>
            <w:tcW w:type="dxa" w:w="4819"/>
            <w:vAlign w:val="center"/>
          </w:tcPr>
          <w:p>
            <w:r>
              <w:t>Bagian 2.9 dan berkas analisis: 13 fitur, preprocessing, hiperparameter, dan seed.</w:t>
            </w:r>
          </w:p>
        </w:tc>
      </w:tr>
      <w:tr>
        <w:tc>
          <w:tcPr>
            <w:tcW w:type="dxa" w:w="4819"/>
            <w:vAlign w:val="center"/>
          </w:tcPr>
          <w:p>
            <w:r>
              <w:t>15. Hasil performa dan ketidakpastian</w:t>
            </w:r>
          </w:p>
        </w:tc>
        <w:tc>
          <w:tcPr>
            <w:tcW w:type="dxa" w:w="4819"/>
            <w:vAlign w:val="center"/>
          </w:tcPr>
          <w:p>
            <w:r>
              <w:t>Bagian 3.2 sampai 3.7: rerata, simpangan baku, IK, rentang, ambang, dan pembanding GRACE.</w:t>
            </w:r>
          </w:p>
        </w:tc>
      </w:tr>
      <w:tr>
        <w:tc>
          <w:tcPr>
            <w:tcW w:type="dxa" w:w="4819"/>
            <w:vAlign w:val="center"/>
          </w:tcPr>
          <w:p>
            <w:r>
              <w:t>16. Keterbatasan dan interpretasi</w:t>
            </w:r>
          </w:p>
        </w:tc>
        <w:tc>
          <w:tcPr>
            <w:tcW w:type="dxa" w:w="4819"/>
            <w:vAlign w:val="center"/>
          </w:tcPr>
          <w:p>
            <w:r>
              <w:t>Bagian 4.9 sampai 4.10: single-center, retrospektif, bias seleksi, missingness, dan tanpa validasi eksternal.</w:t>
            </w:r>
          </w:p>
        </w:tc>
      </w:tr>
      <w:tr>
        <w:tc>
          <w:tcPr>
            <w:tcW w:type="dxa" w:w="4819"/>
            <w:vAlign w:val="center"/>
          </w:tcPr>
          <w:p>
            <w:r>
              <w:t>17. Ketersediaan dan rencana validasi</w:t>
            </w:r>
          </w:p>
        </w:tc>
        <w:tc>
          <w:tcPr>
            <w:tcW w:type="dxa" w:w="4819"/>
            <w:vAlign w:val="center"/>
          </w:tcPr>
          <w:p>
            <w:r>
              <w:t>Bagian 5.2 dan dokumentasi analisis: reproduksi lokal, pembatasan akses data pasien, validasi eksternal prospektif, dan studi implementasi.</w:t>
            </w:r>
          </w:p>
        </w:tc>
      </w:tr>
    </w:tbl>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safety 0,018455 menghasilkan sensitivitas 98,3%, spesifisitas 26,2%, dan dua false negative.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rPr>
          <w:rFonts w:ascii="Times New Roman" w:hAnsi="Times New Roman" w:cs="Times New Roman"/>
          <w:b w:val="0"/>
          <w:i w:val="0"/>
          <w:sz w:val="24"/>
          <w:szCs w:val="24"/>
        </w:rPr>
        <w:t>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 Dari keseluruhan data yang tercatat, dilakukan seleksi berdasarkan kriteria yang telah ditetapkan. Pasien dengan syok kardiogenik yang sudah manifes saat presentasi awal (Killip IV) tidak diikutsertakan karena model ini bertujuan memprediksi mortalitas pada pasien yang belum berada dalam keadaan syok -- sehingga bersifat prediktif, bukan diagnostik terhadap kondisi yang sudah jelas. Beberapa subjek juga tidak disertakan karena data prediktor kunci tidak dapat diekstraksi secara memadai dari rekam medis, ketidaklengkapan data yang substansial, atau pasien pulang paksa sebelum outcome dapat dievaluasi. Setelah proses seleksi yang ketat namun tetap mempertimbangkan keterbatasan data di setting klinik nyata, diperoleh 1.524 pasien yang memenuhi seluruh kriteria analisis. Dari seluruh subjek, sebanyak 115 pasien (7,5%) mengalami mortalitas in-hospital. Karakteristik dasar populasi penelitian disajikan pada Tabel 3.1.</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safety 0,018455 dipilih untuk membatasi false negative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pPr>
        <w:spacing w:lineRule="auto" w:line="360"/>
        <w:ind w:firstLine="720"/>
        <w:jc w:val="both"/>
      </w:pPr>
      <w:r>
        <w:t>Matriks konfusi ambang safety disusun dari prediksi out-of-fold rerata seluruh 1.524 pasien. Model mengidentifikasi 113 dari 115 kematian (sensitivitas 98,3%) dan 369 dari 1.409 pasien hidup (spesifisitas 26,2%). Terdapat 2 false negative dan 1.040 false positive; total pasien yang terflag adalah 1.153. Hasil ini menggambarkan trade-off internal dan bukan jaminan keamanan klinis.</w:t>
      </w:r>
    </w:p>
    <w:p>
      <w:pPr>
        <w:spacing w:lineRule="auto" w:line="360" w:before="60" w:after="120"/>
        <w:jc w:val="center"/>
      </w:pPr>
      <w:r>
        <w:t>Gambar 3.3 Matriks Konfusi Model Random Forest pada Ambang Batas Safety 0,018455</w:t>
      </w:r>
    </w:p>
    <w:p>
      <w:pPr>
        <w:spacing w:lineRule="auto" w:line="360"/>
        <w:jc w:val="both"/>
      </w:pPr>
      <w:r>
        <w:rPr>
          <w:rFonts w:ascii="Times New Roman" w:hAnsi="Times New Roman" w:cs="Times New Roman"/>
          <w:b/>
          <w:i w:val="0"/>
          <w:sz w:val="24"/>
          <w:szCs w:val="24"/>
        </w:rPr>
        <w:t>3.2.4 Analisis Kalibrasi</w:t>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 sampai 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false negative.</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dataset yang sedang, 1.524 pasien dengan 115 kematian, mendukung pemilihan model yang relatif parsimonious. Random Forest menangkap interaksi tanpa transformasi eksplisit dan memberikan performa internal yang lebih baik daripada pembanding XGBoost. Namun, pemilihan algoritma tetap dapat dipengaruhi oleh ruang hiperparameter dan prosedur tuning; tanpa nested cross-validation,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feature importance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false negative.</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sampai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