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Jenis kelamin laki-laki , n (%)</w:t>
            </w:r>
          </w:p>
        </w:tc>
        <w:tc>
          <w:tcPr>
            <w:tcW w:type="dxa" w:w="2409"/>
          </w:tcPr>
          <w:p>
            <w:r>
              <w:t>1145 (81,3)</w:t>
            </w:r>
          </w:p>
        </w:tc>
        <w:tc>
          <w:tcPr>
            <w:tcW w:type="dxa" w:w="2409"/>
          </w:tcPr>
          <w:p>
            <w:r>
              <w:t>83 (72,2)</w:t>
            </w:r>
          </w:p>
        </w:tc>
        <w:tc>
          <w:tcPr>
            <w:tcW w:type="dxa" w:w="2409"/>
          </w:tcPr>
          <w:p>
            <w:r>
              <w:t>0,0247</w:t>
            </w:r>
          </w:p>
        </w:tc>
      </w:tr>
      <w:tr>
        <w:tc>
          <w:tcPr>
            <w:tcW w:type="dxa" w:w="2409"/>
          </w:tcPr>
          <w:p>
            <w:r>
              <w:t>Diagnosis STEMI , n (%)</w:t>
            </w:r>
          </w:p>
        </w:tc>
        <w:tc>
          <w:tcPr>
            <w:tcW w:type="dxa" w:w="2409"/>
          </w:tcPr>
          <w:p>
            <w:r>
              <w:t>975 (69,2)</w:t>
            </w:r>
          </w:p>
        </w:tc>
        <w:tc>
          <w:tcPr>
            <w:tcW w:type="dxa" w:w="2409"/>
          </w:tcPr>
          <w:p>
            <w:r>
              <w:t>72 (62,6)</w:t>
            </w:r>
          </w:p>
        </w:tc>
        <w:tc>
          <w:tcPr>
            <w:tcW w:type="dxa" w:w="2409"/>
          </w:tcPr>
          <w:p>
            <w:r>
              <w:t>0,1736</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Killip I , n (%)</w:t>
            </w:r>
          </w:p>
        </w:tc>
        <w:tc>
          <w:tcPr>
            <w:tcW w:type="dxa" w:w="2409"/>
          </w:tcPr>
          <w:p>
            <w:r>
              <w:t>927 (65,8)</w:t>
            </w:r>
          </w:p>
        </w:tc>
        <w:tc>
          <w:tcPr>
            <w:tcW w:type="dxa" w:w="2409"/>
          </w:tcPr>
          <w:p>
            <w:r>
              <w:t>41 (35,7)</w:t>
            </w:r>
          </w:p>
        </w:tc>
        <w:tc>
          <w:tcPr>
            <w:tcW w:type="dxa" w:w="2409"/>
          </w:tcPr>
          <w:p>
            <w:r/>
          </w:p>
        </w:tc>
      </w:tr>
      <w:tr>
        <w:tc>
          <w:tcPr>
            <w:tcW w:type="dxa" w:w="2409"/>
          </w:tcPr>
          <w:p>
            <w:r>
              <w:t>Killip II , n (%)</w:t>
            </w:r>
          </w:p>
        </w:tc>
        <w:tc>
          <w:tcPr>
            <w:tcW w:type="dxa" w:w="2409"/>
          </w:tcPr>
          <w:p>
            <w:r>
              <w:t>374 (26,5)</w:t>
            </w:r>
          </w:p>
        </w:tc>
        <w:tc>
          <w:tcPr>
            <w:tcW w:type="dxa" w:w="2409"/>
          </w:tcPr>
          <w:p>
            <w:r>
              <w:t>37 (32,2)</w:t>
            </w:r>
          </w:p>
        </w:tc>
        <w:tc>
          <w:tcPr>
            <w:tcW w:type="dxa" w:w="2409"/>
          </w:tcPr>
          <w:p>
            <w:r/>
          </w:p>
        </w:tc>
      </w:tr>
      <w:tr>
        <w:tc>
          <w:tcPr>
            <w:tcW w:type="dxa" w:w="2409"/>
          </w:tcPr>
          <w:p>
            <w:r>
              <w:t>Killip III , n (%)</w:t>
            </w:r>
          </w:p>
        </w:tc>
        <w:tc>
          <w:tcPr>
            <w:tcW w:type="dxa" w:w="2409"/>
          </w:tcPr>
          <w:p>
            <w:r>
              <w:t>108 (7,7)</w:t>
            </w:r>
          </w:p>
        </w:tc>
        <w:tc>
          <w:tcPr>
            <w:tcW w:type="dxa" w:w="2409"/>
          </w:tcPr>
          <w:p>
            <w:r>
              <w:t>37 (32,2)</w:t>
            </w:r>
          </w:p>
        </w:tc>
        <w:tc>
          <w:tcPr>
            <w:tcW w:type="dxa" w:w="2409"/>
          </w:tcPr>
          <w:p>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Troponin I (ng/mL)</w:t>
            </w:r>
          </w:p>
        </w:tc>
        <w:tc>
          <w:tcPr>
            <w:tcW w:type="dxa" w:w="2409"/>
          </w:tcPr>
          <w:p>
            <w:r>
              <w:t>16771,2 ± 22440,3</w:t>
            </w:r>
          </w:p>
        </w:tc>
        <w:tc>
          <w:tcPr>
            <w:tcW w:type="dxa" w:w="2409"/>
          </w:tcPr>
          <w:p>
            <w:r>
              <w:t>15142,8 ± 21999,8</w:t>
            </w:r>
          </w:p>
        </w:tc>
        <w:tc>
          <w:tcPr>
            <w:tcW w:type="dxa" w:w="2409"/>
          </w:tcPr>
          <w:p>
            <w:r>
              <w:t>0,4550</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rPr>
          <w:rFonts w:ascii="Times New Roman" w:hAnsi="Times New Roman" w:cs="Times New Roman"/>
          <w:b w:val="0"/>
          <w:i w:val="0"/>
          <w:sz w:val="24"/>
          <w:szCs w:val="24"/>
        </w:rPr>
        <w:t>Dari total 1524 pasien, sebanyak 1.047 pasien (68,7%) terdiagnosis STEMI dan 477 pasien (31,3%) terdiagnosis NSTEMI. Angka mortalitas pada kelompok STEMI adalah 6,9% (72/1.047), sedangkan pada kelompok NSTEMI adalah 9,0% (43/477). Perbedaan ini tidak signifikan secara statistik (p=0,174).</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Usia (tahun)</w:t>
            </w:r>
          </w:p>
        </w:tc>
        <w:tc>
          <w:tcPr>
            <w:tcW w:type="dxa" w:w="1856"/>
          </w:tcPr>
          <w:p>
            <w:pPr>
              <w:jc w:val="left"/>
              <w:spacing w:line="360" w:lineRule="auto"/>
            </w:pPr>
            <w:r>
              <w:rPr>
                <w:rFonts w:ascii="Times New Roman" w:hAnsi="Times New Roman" w:cs="Times New Roman"/>
                <w:sz w:val="24"/>
                <w:szCs w:val="24"/>
              </w:rPr>
              <w:t>56,2 ± 10,6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60,2 ± 11,6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Jenis kelamin laki-laki</w:t>
            </w:r>
          </w:p>
        </w:tc>
        <w:tc>
          <w:tcPr>
            <w:tcW w:type="dxa" w:w="1856"/>
          </w:tcPr>
          <w:p>
            <w:pPr>
              <w:jc w:val="left"/>
              <w:spacing w:line="360" w:lineRule="auto"/>
            </w:pPr>
            <w:r>
              <w:rPr>
                <w:rFonts w:ascii="Times New Roman" w:hAnsi="Times New Roman" w:cs="Times New Roman"/>
                <w:sz w:val="24"/>
                <w:szCs w:val="24"/>
              </w:rPr>
              <w:t>874 (83,5%)</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354 (74,2%)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856"/>
          </w:tcPr>
          <w:p>
            <w:pPr>
              <w:jc w:val="left"/>
              <w:spacing w:line="360" w:lineRule="auto"/>
            </w:pPr>
            <w:r>
              <w:rPr>
                <w:rFonts w:ascii="Times New Roman" w:hAnsi="Times New Roman" w:cs="Times New Roman"/>
                <w:sz w:val="24"/>
                <w:szCs w:val="24"/>
              </w:rPr>
              <w:t>72 (6,9%)</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43 (9,0%)</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0,174</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Killip III</w:t>
            </w:r>
          </w:p>
        </w:tc>
        <w:tc>
          <w:tcPr>
            <w:tcW w:type="dxa" w:w="1856"/>
          </w:tcPr>
          <w:p>
            <w:pPr>
              <w:jc w:val="left"/>
              <w:spacing w:line="360" w:lineRule="auto"/>
            </w:pPr>
            <w:r>
              <w:rPr>
                <w:rFonts w:ascii="Times New Roman" w:hAnsi="Times New Roman" w:cs="Times New Roman"/>
                <w:sz w:val="24"/>
                <w:szCs w:val="24"/>
              </w:rPr>
              <w:t>53 (5,1%)</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92 (19,3%)</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LVEF (%)</w:t>
            </w:r>
          </w:p>
        </w:tc>
        <w:tc>
          <w:tcPr>
            <w:tcW w:type="dxa" w:w="1856"/>
          </w:tcPr>
          <w:p>
            <w:pPr>
              <w:jc w:val="left"/>
              <w:spacing w:line="360" w:lineRule="auto"/>
            </w:pPr>
            <w:r>
              <w:rPr>
                <w:rFonts w:ascii="Times New Roman" w:hAnsi="Times New Roman" w:cs="Times New Roman"/>
                <w:sz w:val="24"/>
                <w:szCs w:val="24"/>
              </w:rPr>
              <w:t>42,3 ± 6,4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42,7 ± 10,4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0,471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eGFR (mL/menit/1,73m²)</w:t>
            </w:r>
          </w:p>
        </w:tc>
        <w:tc>
          <w:tcPr>
            <w:tcW w:type="dxa" w:w="1856"/>
          </w:tcPr>
          <w:p>
            <w:pPr>
              <w:jc w:val="left"/>
              <w:spacing w:line="360" w:lineRule="auto"/>
            </w:pPr>
            <w:r>
              <w:rPr>
                <w:rFonts w:ascii="Times New Roman" w:hAnsi="Times New Roman" w:cs="Times New Roman"/>
                <w:sz w:val="24"/>
                <w:szCs w:val="24"/>
              </w:rPr>
              <w:t>85,0 ± 25,2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73,7 ± 29,4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Pasien STEMI cenderung lebih muda, didominasi laki-laki, namun memiliki angka mortalitas yang lebih tinggi dibandingkan pasien NSTEMI. Hal ini konsisten dengan literatur yang menunjukkan bahwa STEMI memiliki risiko komplikasi hemodinamik yang lebih besar akibat luasnya area miokardium yang mengalami infark transmural.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batas safety (0,018455) dipilih dengan prioritas sensitivitas ≥97,5% untuk meminimalkan false negative pada skrining awal di IGD. Pada ambang batas ini, model mencapai sensitivitas 98,3% (FN=2) dengan spesifisitas 19,7%. Sementara itu, ambang batas Youden (0,103981) memberikan keseimbangan optimal antara sensitivitas (80,9%) dan spesifisitas (70,6%) untuk stratifikasi triase definitif.</w:t>
      </w:r>
    </w:p>
    <w:p>
      <w:pPr>
        <w:spacing w:lineRule="auto" w:line="360"/>
        <w:ind w:firstLine="720"/>
        <w:jc w:val="both"/>
      </w:pPr>
      <w:r>
        <w:t>Ambang batas Youden (0,103981) dihitung menggunakan indeks Youden (sensitivitas + spesifisitas - 1) untuk memaksimalkan akurasi klasifikasi secara keseluruhan. Pada ambang ini, sensitivitas menurun menjadi 80,9%, namun spesifisitas meningkat menjadi 70,6%, dengan PPV 18,3%. Ambang ini lebih sesuai untuk stratifikasi triase definitif karena memberikan keseimbangan optimal antara deteksi kasus dan kendali false positive.</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t>Matriks konfusi disusun berdasarkan prediksi out-of-fold dari validasi silang 5-lipat, di mana setiap pasien menjadi bagian dari data uji tepat satu kali sehingga seluruh 1524 pasien memiliki prediksi yang tidak bias. Pada ambang batas safety (0,018455) dengan pendekatan safety-first yang memprioritaskan sensitivitas tinggi, model mencapai sensitivitas 98,3% (113 dari 115 pasien mortalitas terdeteksi) dengan spesifisitas 19,7% (277 dari 1.409 pasien hidup terklasifikasi benar). Hanya 2 pasien yang terlewatkan (false negative rate 1,7%) dan 1.132 pasien merupakan false positive (90,9% dari total pasien terflag sebagai risiko tinggi).</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