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 xml:space="preserve">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Analisis luaran sekunder bersifat eksploratif dan tidak mengubah fokus utama penelitian pada mortalitas in-hospital. Dari 1.524 subjek, terdapat 115 kematian (7,5%), 171 kejadian syok kardiogenik baru (11,2%), dan 197 kejadian komposit (12,9%).</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0,747)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 Analisis feature importance menunjukkan LVOT VTI (Gini 0,132), SBP (0,128), dan APTT (0,083) sebagai prediktor terkuat untuk syok kardiogenik baru.</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0,769, yang berada di antara performa untuk mortalitas (0,819) dan SKG (0,747). Analisis luaran komposit bersifat eksploratif karena menggabungkan komponen dengan karakteristik prediktif dan implikasi klinis yang berbeda. Analisis feature importance menunjukkan LVOT VTI (Gini 0,134), SBP (0,117), dan eGFR (0,113) sebagai prediktor terkuat untuk luaran komposit.</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br w:type="page"/>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2.1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