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9354"/>
            <w:shd w:fill="D9E2F3" w:val="clear"/>
          </w:tcPr>
          <w:p>
            <w:r>
              <w:rPr>
                <w:sz w:val="20"/>
              </w:rPr>
              <w:t>Laju Napas (Respiratory Rate)</w:t>
            </w:r>
          </w:p>
        </w:tc>
        <w:tc>
          <w:tcPr>
            <w:tcW w:type="dxa" w:w="9354"/>
            <w:shd w:fill="D9E2F3" w:val="clear"/>
          </w:tcPr>
          <w:p>
            <w:r>
              <w:rPr>
                <w:sz w:val="20"/>
              </w:rPr>
              <w:t>Frekuensi napas saat admisi, nilai tertinggi (maksimum) dalam 0-24 jam pertama</w:t>
            </w:r>
          </w:p>
        </w:tc>
        <w:tc>
          <w:tcPr>
            <w:tcW w:type="dxa" w:w="9354"/>
            <w:shd w:fill="D9E2F3" w:val="clear"/>
          </w:tcPr>
          <w:p>
            <w:r>
              <w:rPr>
                <w:sz w:val="20"/>
              </w:rPr>
              <w:t>Kontinu</w:t>
            </w:r>
          </w:p>
        </w:tc>
        <w:tc>
          <w:tcPr>
            <w:tcW w:type="dxa" w:w="9354"/>
            <w:shd w:fill="D9E2F3" w:val="clear"/>
          </w:tcPr>
          <w:p>
            <w:r>
              <w:rPr>
                <w:sz w:val="20"/>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Kardiomegali</w:t>
            </w:r>
          </w:p>
        </w:tc>
        <w:tc>
          <w:tcPr>
            <w:tcW w:type="dxa" w:w="1417"/>
          </w:tcPr>
          <w:p>
            <w:r>
              <w:rPr>
                <w:sz w:val="20"/>
              </w:rPr>
              <w:t>Pembesaran ukuran jantung berdasarkan foto toraks saat admisi</w:t>
            </w:r>
          </w:p>
        </w:tc>
        <w:tc>
          <w:tcPr>
            <w:tcW w:type="dxa" w:w="1417"/>
          </w:tcPr>
          <w:p>
            <w:r>
              <w:rPr>
                <w:sz w:val="20"/>
              </w:rPr>
              <w:t>Biner</w:t>
            </w:r>
          </w:p>
        </w:tc>
        <w:tc>
          <w:tcPr>
            <w:tcW w:type="dxa" w:w="1417"/>
          </w:tcPr>
          <w:p>
            <w:r>
              <w:rPr>
                <w:sz w:val="20"/>
              </w:rPr>
              <w:t>Ya=1 jika CTR (cardiothoracic ratio) &gt;0,5 pada foto toraks PA; Tidak=0</w:t>
            </w:r>
          </w:p>
        </w:tc>
      </w:tr>
      <w:tr>
        <w:tc>
          <w:tcPr>
            <w:tcW w:type="dxa" w:w="1417"/>
          </w:tcPr>
          <w:p>
            <w:r>
              <w:rPr>
                <w:sz w:val="20"/>
              </w:rPr>
              <w:t>Edema Paru</w:t>
            </w:r>
          </w:p>
        </w:tc>
        <w:tc>
          <w:tcPr>
            <w:tcW w:type="dxa" w:w="1417"/>
          </w:tcPr>
          <w:p>
            <w:r>
              <w:rPr>
                <w:sz w:val="20"/>
              </w:rPr>
              <w:t>Tanda edema paru berdasarkan foto toraks saat admisi</w:t>
            </w:r>
          </w:p>
        </w:tc>
        <w:tc>
          <w:tcPr>
            <w:tcW w:type="dxa" w:w="1417"/>
          </w:tcPr>
          <w:p>
            <w:r>
              <w:rPr>
                <w:sz w:val="20"/>
              </w:rPr>
              <w:t>Biner</w:t>
            </w:r>
          </w:p>
        </w:tc>
        <w:tc>
          <w:tcPr>
            <w:tcW w:type="dxa" w:w="1417"/>
          </w:tcPr>
          <w:p>
            <w:r>
              <w:rPr>
                <w:sz w:val="20"/>
              </w:rPr>
              <w:t>Ya=1 jika terdapat gambaran edema paru pada foto toraks PA; Tidak=0</w:t>
            </w:r>
          </w:p>
        </w:tc>
      </w:tr>
      <w:tr>
        <w:tc>
          <w:tcPr>
            <w:tcW w:type="dxa" w:w="1417"/>
          </w:tcPr>
          <w:p>
            <w:r>
              <w:rPr>
                <w:sz w:val="20"/>
              </w:rPr>
              <w:t>Elevasi ST</w:t>
            </w:r>
          </w:p>
        </w:tc>
        <w:tc>
          <w:tcPr>
            <w:tcW w:type="dxa" w:w="1417"/>
          </w:tcPr>
          <w:p>
            <w:r>
              <w:rPr>
                <w:sz w:val="20"/>
              </w:rPr>
              <w:t>Terdapat elevasi segmen ST pada EKG awal sesuai definisi STEMI universal</w:t>
            </w:r>
          </w:p>
        </w:tc>
        <w:tc>
          <w:tcPr>
            <w:tcW w:type="dxa" w:w="1417"/>
          </w:tcPr>
          <w:p>
            <w:r>
              <w:rPr>
                <w:sz w:val="20"/>
              </w:rPr>
              <w:t>Biner</w:t>
            </w:r>
          </w:p>
        </w:tc>
        <w:tc>
          <w:tcPr>
            <w:tcW w:type="dxa" w:w="1417"/>
          </w:tcPr>
          <w:p>
            <w:r>
              <w:rPr>
                <w:sz w:val="20"/>
              </w:rPr>
              <w:t>Ya=1 jika elevasi ST &gt;=1 mm pada &gt;=2 sadapan ekstremitas atau &gt;=2 mm pada &gt;=2 sadapan prekordial; Tidak=0</w:t>
            </w:r>
          </w:p>
        </w:tc>
      </w:tr>
      <w:tr>
        <w:tc>
          <w:tcPr>
            <w:tcW w:type="dxa" w:w="1417"/>
          </w:tcPr>
          <w:p>
            <w:r>
              <w:rPr>
                <w:sz w:val="20"/>
              </w:rPr>
              <w:t>Gelombang Q patologis/OMI</w:t>
            </w:r>
          </w:p>
        </w:tc>
        <w:tc>
          <w:tcPr>
            <w:tcW w:type="dxa" w:w="1417"/>
          </w:tcPr>
          <w:p>
            <w:r>
              <w:rPr>
                <w:sz w:val="20"/>
              </w:rPr>
              <w:t>Terdapat gelombang Q patologis atau gambaran old myocardial infarction pada EKG awal</w:t>
            </w:r>
          </w:p>
        </w:tc>
        <w:tc>
          <w:tcPr>
            <w:tcW w:type="dxa" w:w="1417"/>
          </w:tcPr>
          <w:p>
            <w:r>
              <w:rPr>
                <w:sz w:val="20"/>
              </w:rPr>
              <w:t>Biner</w:t>
            </w:r>
          </w:p>
        </w:tc>
        <w:tc>
          <w:tcPr>
            <w:tcW w:type="dxa" w:w="1417"/>
          </w:tcPr>
          <w:p>
            <w:r>
              <w:rPr>
                <w:sz w:val="20"/>
              </w:rPr>
              <w:t>Ya=1 jika durasi Q &gt;=0,04 detik dan/atau kedalaman Q &gt;=25% tinggi R pada &gt;=2 sadapan;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Kreatinin</w:t>
            </w:r>
          </w:p>
        </w:tc>
        <w:tc>
          <w:tcPr>
            <w:tcW w:type="dxa" w:w="1417"/>
          </w:tcPr>
          <w:p>
            <w:r>
              <w:rPr>
                <w:sz w:val="20"/>
              </w:rPr>
              <w:t>Kadar kreatinin serum, nilai pada 0-24 jam pertama</w:t>
            </w:r>
          </w:p>
        </w:tc>
        <w:tc>
          <w:tcPr>
            <w:tcW w:type="dxa" w:w="1417"/>
          </w:tcPr>
          <w:p>
            <w:r>
              <w:rPr>
                <w:sz w:val="20"/>
              </w:rPr>
              <w:t>Kontinu</w:t>
            </w:r>
          </w:p>
        </w:tc>
        <w:tc>
          <w:tcPr>
            <w:tcW w:type="dxa" w:w="1417"/>
          </w:tcPr>
          <w:p>
            <w:r>
              <w:rPr>
                <w:sz w:val="20"/>
              </w:rPr>
              <w:t>mg/dL, nilai numerik</w:t>
            </w:r>
          </w:p>
        </w:tc>
      </w:tr>
      <w:tr>
        <w:tc>
          <w:tcPr>
            <w:tcW w:type="dxa" w:w="1417"/>
          </w:tcPr>
          <w:p>
            <w:r>
              <w:rPr>
                <w:sz w:val="20"/>
              </w:rPr>
              <w:t>NLR (Neutrophil-to-Lymphocyte Ratio)</w:t>
            </w:r>
          </w:p>
        </w:tc>
        <w:tc>
          <w:tcPr>
            <w:tcW w:type="dxa" w:w="1417"/>
          </w:tcPr>
          <w:p>
            <w:r>
              <w:rPr>
                <w:sz w:val="20"/>
              </w:rPr>
              <w:t>Rasio neutrofil terhadap limfosit dari darah tepi, nilai pada 0-24 jam pertama</w:t>
            </w:r>
          </w:p>
        </w:tc>
        <w:tc>
          <w:tcPr>
            <w:tcW w:type="dxa" w:w="1417"/>
          </w:tcPr>
          <w:p>
            <w:r>
              <w:rPr>
                <w:sz w:val="20"/>
              </w:rPr>
              <w:t>Kontinu</w:t>
            </w:r>
          </w:p>
        </w:tc>
        <w:tc>
          <w:tcPr>
            <w:tcW w:type="dxa" w:w="1417"/>
          </w:tcPr>
          <w:p>
            <w:r>
              <w:rPr>
                <w:sz w:val="20"/>
              </w:rPr>
              <w:t>NLR = hitung jenis neutrofil absolut / hitung jenis limfosit absolut</w:t>
            </w:r>
          </w:p>
        </w:tc>
      </w:tr>
      <w:tr>
        <w:tc>
          <w:tcPr>
            <w:tcW w:type="dxa" w:w="1417"/>
          </w:tcPr>
          <w:p>
            <w:r>
              <w:rPr>
                <w:sz w:val="20"/>
              </w:rPr>
              <w:t>SII (Systemic Immune-Inflammation Index)</w:t>
            </w:r>
          </w:p>
        </w:tc>
        <w:tc>
          <w:tcPr>
            <w:tcW w:type="dxa" w:w="1417"/>
          </w:tcPr>
          <w:p>
            <w:r>
              <w:rPr>
                <w:sz w:val="20"/>
              </w:rPr>
              <w:t>Indeks imun-inflamasi sistemik, dihitung dari nilai laboratorium 0-24 jam pertama</w:t>
            </w:r>
          </w:p>
        </w:tc>
        <w:tc>
          <w:tcPr>
            <w:tcW w:type="dxa" w:w="1417"/>
          </w:tcPr>
          <w:p>
            <w:r>
              <w:rPr>
                <w:sz w:val="20"/>
              </w:rPr>
              <w:t>Kontinu</w:t>
            </w:r>
          </w:p>
        </w:tc>
        <w:tc>
          <w:tcPr>
            <w:tcW w:type="dxa" w:w="1417"/>
          </w:tcPr>
          <w:p>
            <w:r>
              <w:rPr>
                <w:sz w:val="20"/>
              </w:rPr>
              <w:t>SII = (hitung jenis neutrofil absolut × hitung jenis trombosit absolut) / hitung jenis limfosit absolut</w:t>
            </w:r>
          </w:p>
        </w:tc>
      </w:tr>
      <w:tr>
        <w:tc>
          <w:tcPr>
            <w:tcW w:type="dxa" w:w="1417"/>
          </w:tcPr>
          <w:p>
            <w:r>
              <w:rPr>
                <w:sz w:val="20"/>
              </w:rPr>
              <w:t>APTT (Activated Partial Thromboplastin Time)</w:t>
            </w:r>
          </w:p>
        </w:tc>
        <w:tc>
          <w:tcPr>
            <w:tcW w:type="dxa" w:w="1417"/>
          </w:tcPr>
          <w:p>
            <w:r>
              <w:rPr>
                <w:sz w:val="20"/>
              </w:rPr>
              <w:t>Waktu tromboplastin parsial teraktivasi, nilai pada 0-24 jam pertama</w:t>
            </w:r>
          </w:p>
        </w:tc>
        <w:tc>
          <w:tcPr>
            <w:tcW w:type="dxa" w:w="1417"/>
          </w:tcPr>
          <w:p>
            <w:r>
              <w:rPr>
                <w:sz w:val="20"/>
              </w:rPr>
              <w:t>Kontinu</w:t>
            </w:r>
          </w:p>
        </w:tc>
        <w:tc>
          <w:tcPr>
            <w:tcW w:type="dxa" w:w="1417"/>
          </w:tcPr>
          <w:p>
            <w:r>
              <w:rPr>
                <w:sz w:val="20"/>
              </w:rPr>
              <w:t>detik,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r>
              <w:rPr>
                <w:sz w:val="20"/>
              </w:rPr>
              <w:t>LVOT VTI (Velocity Time Integral)</w:t>
            </w:r>
          </w:p>
        </w:tc>
        <w:tc>
          <w:tcPr>
            <w:tcW w:type="dxa" w:w="1417"/>
          </w:tcPr>
          <w:p>
            <w:r>
              <w:rPr>
                <w:sz w:val="20"/>
              </w:rPr>
              <w:t>Velocity time integral dari left ventricular outflow tract, pulsed-wave Doppler apikal 5-ruang</w:t>
            </w:r>
          </w:p>
        </w:tc>
        <w:tc>
          <w:tcPr>
            <w:tcW w:type="dxa" w:w="1417"/>
          </w:tcPr>
          <w:p>
            <w:r>
              <w:rPr>
                <w:sz w:val="20"/>
              </w:rPr>
              <w:t>Kontinu</w:t>
            </w:r>
          </w:p>
        </w:tc>
        <w:tc>
          <w:tcPr>
            <w:tcW w:type="dxa" w:w="1417"/>
          </w:tcPr>
          <w:p>
            <w:r>
              <w:rPr>
                <w:sz w:val="20"/>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r>
              <w:rPr>
                <w:sz w:val="20"/>
              </w:rPr>
              <w:t>Dislipidemia</w:t>
            </w:r>
          </w:p>
        </w:tc>
        <w:tc>
          <w:tcPr>
            <w:tcW w:type="dxa" w:w="1417"/>
          </w:tcPr>
          <w:p>
            <w:r>
              <w:rPr>
                <w:sz w:val="20"/>
              </w:rPr>
              <w:t>Riwayat dislipidemia atau penggunaan obat penurun lipid sebelum admisi</w:t>
            </w:r>
          </w:p>
        </w:tc>
        <w:tc>
          <w:tcPr>
            <w:tcW w:type="dxa" w:w="1417"/>
          </w:tcPr>
          <w:p>
            <w:r>
              <w:rPr>
                <w:sz w:val="20"/>
              </w:rPr>
              <w:t>Biner</w:t>
            </w:r>
          </w:p>
        </w:tc>
        <w:tc>
          <w:tcPr>
            <w:tcW w:type="dxa" w:w="1417"/>
          </w:tcPr>
          <w:p>
            <w:r>
              <w:rPr>
                <w:sz w:val="20"/>
              </w:rPr>
              <w:t>Ya=1 jika di problem list atau penggunaan statin/fibrat kronik sebelum admisi; Tidak=0</w:t>
            </w:r>
          </w:p>
        </w:tc>
      </w:tr>
      <w:tr>
        <w:tc>
          <w:tcPr>
            <w:tcW w:type="dxa" w:w="1417"/>
          </w:tcPr>
          <w:p>
            <w:r>
              <w:rPr>
                <w:sz w:val="20"/>
              </w:rPr>
              <w:t>Penyakit Ginjal Kronik</w:t>
            </w:r>
          </w:p>
        </w:tc>
        <w:tc>
          <w:tcPr>
            <w:tcW w:type="dxa" w:w="1417"/>
          </w:tcPr>
          <w:p>
            <w:r>
              <w:rPr>
                <w:sz w:val="20"/>
              </w:rPr>
              <w:t>Riwayat penyakit ginjal kronik atau eGFR &lt;60 mL/menit/1,73 m2 yang menetap sebelum admisi</w:t>
            </w:r>
          </w:p>
        </w:tc>
        <w:tc>
          <w:tcPr>
            <w:tcW w:type="dxa" w:w="1417"/>
          </w:tcPr>
          <w:p>
            <w:r>
              <w:rPr>
                <w:sz w:val="20"/>
              </w:rPr>
              <w:t>Biner</w:t>
            </w:r>
          </w:p>
        </w:tc>
        <w:tc>
          <w:tcPr>
            <w:tcW w:type="dxa" w:w="1417"/>
          </w:tcPr>
          <w:p>
            <w:r>
              <w:rPr>
                <w:sz w:val="20"/>
              </w:rPr>
              <w:t>Ya=1 jika di problem list atau eGFR kronik &lt;60;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jc w:val="both"/>
      </w:pPr>
      <w:r>
        <w:rPr>
          <w:rFonts w:ascii="Times New Roman" w:hAnsi="Times New Roman"/>
          <w:sz w:val="24"/>
        </w:rPr>
        <w:t>Seleksi subjek penelitian dilakukan secara retrospektif dari basis data RME pasien dengan diagnosis utama STEMI atau NSTEMI yang dirawat di Pusat Jantung Terpadu RSUP Dr. Wahidin Sudirohusodo Makassar periode Januari 2024 sampai Maret 2026. Dari 1.952 rekam pasien yang teridentifikasi, dilakukan eksklusi bertahap melalui kriteria yang telah ditetapkan sebelumnya. Alur seleksi lengkap disajikan pada Gambar 2.3.</w:t>
      </w:r>
    </w:p>
    <w:p>
      <w:pPr>
        <w:jc w:val="both"/>
      </w:pPr>
      <w:r/>
      <w:r>
        <w:rPr>
          <w:rFonts w:ascii="Times New Roman" w:hAnsi="Times New Roman"/>
          <w:sz w:val="24"/>
        </w:rPr>
        <w:t>Proses eksklusi mencakup pasien dengan shock atau hipotensi saat admisi, koding non-ACS, riwayat CABG, pulang paksa, data tidak lengkap, dan kelas Killip IV yang terlewat pada penyaringan awal.</w:t>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4388348"/>
            <wp:docPr id="14" name="Picture 14"/>
            <wp:cNvGraphicFramePr>
              <a:graphicFrameLocks noChangeAspect="1"/>
            </wp:cNvGraphicFramePr>
            <a:graphic>
              <a:graphicData uri="http://schemas.openxmlformats.org/drawingml/2006/picture">
                <pic:pic>
                  <pic:nvPicPr>
                    <pic:cNvPr id="0" name="fig11_roc_3outcomes.png"/>
                    <pic:cNvPicPr/>
                  </pic:nvPicPr>
                  <pic:blipFill>
                    <a:blip r:embed="rId1"/>
                    <a:stretch>
                      <a:fillRect/>
                    </a:stretch>
                  </pic:blipFill>
                  <pic:spPr>
                    <a:xfrm>
                      <a:off x="0" y="0"/>
                      <a:ext cx="5029200" cy="438834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sz w:val="20"/>
              </w:rPr>
              <w:t>Model / Skor Risiko</w:t>
            </w:r>
          </w:p>
        </w:tc>
        <w:tc>
          <w:tcPr>
            <w:tcW w:type="dxa" w:w="1856"/>
            <w:shd w:val="clear" w:fill="D9EAF7"/>
            <w:vAlign w:val="center"/>
          </w:tcPr>
          <w:p>
            <w:r>
              <w:rPr>
                <w:b/>
                <w:sz w:val="20"/>
              </w:rPr>
              <w:t>AUC</w:t>
            </w:r>
          </w:p>
        </w:tc>
        <w:tc>
          <w:tcPr>
            <w:tcW w:type="dxa" w:w="1856"/>
            <w:shd w:val="clear" w:fill="D9EAF7"/>
            <w:vAlign w:val="center"/>
          </w:tcPr>
          <w:p>
            <w:r>
              <w:rPr>
                <w:b/>
                <w:sz w:val="20"/>
              </w:rPr>
              <w:t>Populasi</w:t>
            </w:r>
          </w:p>
        </w:tc>
        <w:tc>
          <w:tcPr>
            <w:tcW w:type="dxa" w:w="1856"/>
            <w:shd w:val="clear" w:fill="D9EAF7"/>
            <w:vAlign w:val="center"/>
          </w:tcPr>
          <w:p>
            <w:r>
              <w:rPr>
                <w:b/>
                <w:sz w:val="20"/>
              </w:rPr>
              <w:t>Sumber</w:t>
            </w:r>
          </w:p>
        </w:tc>
      </w:tr>
      <w:tr>
        <w:trPr>
          <w:tblHeader w:val="true"/>
        </w:trPr>
        <w:tc>
          <w:tcPr>
            <w:tcW w:type="dxa" w:w="1856"/>
            <w:shd w:val="clear" w:fill="D9EAF7"/>
            <w:vAlign w:val="center"/>
          </w:tcPr>
          <w:p>
            <w:r>
              <w:t>Random Forest (model kami)</w:t>
            </w:r>
          </w:p>
        </w:tc>
        <w:tc>
          <w:tcPr>
            <w:tcW w:type="dxa" w:w="1856"/>
            <w:shd w:val="clear" w:fill="D9EAF7"/>
            <w:vAlign w:val="center"/>
          </w:tcPr>
          <w:p>
            <w:r>
              <w:t>0,819</w:t>
            </w:r>
          </w:p>
        </w:tc>
        <w:tc>
          <w:tcPr>
            <w:tcW w:type="dxa" w:w="1856"/>
            <w:shd w:val="clear" w:fill="D9EAF7"/>
            <w:vAlign w:val="center"/>
          </w:tcPr>
          <w:p>
            <w:r>
              <w:t>SKA, N=1.524</w:t>
            </w:r>
          </w:p>
        </w:tc>
        <w:tc>
          <w:tcPr>
            <w:tcW w:type="dxa" w:w="1856"/>
            <w:shd w:val="clear" w:fill="D9EAF7"/>
            <w:vAlign w:val="center"/>
          </w:tcPr>
          <w:p>
            <w:r>
              <w:t>13 fitur; 5-fold CV x 10 seed</w:t>
            </w:r>
          </w:p>
        </w:tc>
      </w:tr>
      <w:tr>
        <w:trPr>
          <w:tblHeader w:val="true"/>
        </w:trPr>
        <w:tc>
          <w:tcPr>
            <w:tcW w:type="dxa" w:w="1856"/>
            <w:shd w:val="clear" w:fill="D9EAF7"/>
            <w:vAlign w:val="center"/>
          </w:tcPr>
          <w:p>
            <w:r>
              <w:t>GRACE 2.0 (dihitung ulang)</w:t>
            </w:r>
          </w:p>
        </w:tc>
        <w:tc>
          <w:tcPr>
            <w:tcW w:type="dxa" w:w="1856"/>
            <w:shd w:val="clear" w:fill="D9EAF7"/>
            <w:vAlign w:val="center"/>
          </w:tcPr>
          <w:p>
            <w:r>
              <w:t>0,777</w:t>
            </w:r>
          </w:p>
        </w:tc>
        <w:tc>
          <w:tcPr>
            <w:tcW w:type="dxa" w:w="1856"/>
            <w:shd w:val="clear" w:fill="D9EAF7"/>
            <w:vAlign w:val="center"/>
          </w:tcPr>
          <w:p>
            <w:r>
              <w:t>SKA, N=1.524</w:t>
            </w:r>
          </w:p>
        </w:tc>
        <w:tc>
          <w:tcPr>
            <w:tcW w:type="dxa" w:w="1856"/>
            <w:shd w:val="clear" w:fill="D9EAF7"/>
            <w:vAlign w:val="center"/>
          </w:tcPr>
          <w:p>
            <w:r>
              <w:t>Berdasarkan data penelitian ini</w:t>
            </w:r>
          </w:p>
        </w:tc>
      </w:tr>
      <w:tr>
        <w:trPr>
          <w:tblHeader w:val="true"/>
        </w:trPr>
        <w:tc>
          <w:tcPr>
            <w:tcW w:type="dxa" w:w="1856"/>
            <w:shd w:val="clear" w:fill="D9EAF7"/>
            <w:vAlign w:val="center"/>
          </w:tcPr>
          <w:p>
            <w:r>
              <w:t>GRACE Score</w:t>
            </w:r>
          </w:p>
        </w:tc>
        <w:tc>
          <w:tcPr>
            <w:tcW w:type="dxa" w:w="1856"/>
            <w:shd w:val="clear" w:fill="D9EAF7"/>
            <w:vAlign w:val="center"/>
          </w:tcPr>
          <w:p>
            <w:r>
              <w:t>0,790-0,800</w:t>
            </w:r>
          </w:p>
        </w:tc>
        <w:tc>
          <w:tcPr>
            <w:tcW w:type="dxa" w:w="1856"/>
            <w:shd w:val="clear" w:fill="D9EAF7"/>
            <w:vAlign w:val="center"/>
          </w:tcPr>
          <w:p>
            <w:r>
              <w:t>SKA</w:t>
            </w:r>
          </w:p>
        </w:tc>
        <w:tc>
          <w:tcPr>
            <w:tcW w:type="dxa" w:w="1856"/>
            <w:shd w:val="clear" w:fill="D9EAF7"/>
            <w:vAlign w:val="center"/>
          </w:tcPr>
          <w:p>
            <w:r>
              <w:t>Huang et al. (2020), Park et al. (2021)</w:t>
            </w:r>
          </w:p>
        </w:tc>
      </w:tr>
      <w:tr>
        <w:trPr>
          <w:tblHeader w:val="true"/>
        </w:trPr>
        <w:tc>
          <w:tcPr>
            <w:tcW w:type="dxa" w:w="1856"/>
            <w:shd w:val="clear" w:fill="D9EAF7"/>
            <w:vAlign w:val="center"/>
          </w:tcPr>
          <w:p>
            <w:r>
              <w:t>TIMI STEMI</w:t>
            </w:r>
          </w:p>
        </w:tc>
        <w:tc>
          <w:tcPr>
            <w:tcW w:type="dxa" w:w="1856"/>
            <w:shd w:val="clear" w:fill="D9EAF7"/>
            <w:vAlign w:val="center"/>
          </w:tcPr>
          <w:p>
            <w:r>
              <w:t>0,760</w:t>
            </w:r>
          </w:p>
        </w:tc>
        <w:tc>
          <w:tcPr>
            <w:tcW w:type="dxa" w:w="1856"/>
            <w:shd w:val="clear" w:fill="D9EAF7"/>
            <w:vAlign w:val="center"/>
          </w:tcPr>
          <w:p>
            <w:r>
              <w:t>STEMI</w:t>
            </w:r>
          </w:p>
        </w:tc>
        <w:tc>
          <w:tcPr>
            <w:tcW w:type="dxa" w:w="1856"/>
            <w:shd w:val="clear" w:fill="D9EAF7"/>
            <w:vAlign w:val="center"/>
          </w:tcPr>
          <w:p>
            <w:r>
              <w:t>Morrow et al. (2000)</w:t>
            </w:r>
          </w:p>
        </w:tc>
      </w:tr>
      <w:tr>
        <w:trPr>
          <w:tblHeader w:val="true"/>
        </w:trPr>
        <w:tc>
          <w:tcPr>
            <w:tcW w:type="dxa" w:w="1856"/>
            <w:shd w:val="clear" w:fill="D9EAF7"/>
            <w:vAlign w:val="center"/>
          </w:tcPr>
          <w:p>
            <w:r>
              <w:t>TIMI NSTEMI</w:t>
            </w:r>
          </w:p>
        </w:tc>
        <w:tc>
          <w:tcPr>
            <w:tcW w:type="dxa" w:w="1856"/>
            <w:shd w:val="clear" w:fill="D9EAF7"/>
            <w:vAlign w:val="center"/>
          </w:tcPr>
          <w:p>
            <w:r>
              <w:t>0,750</w:t>
            </w:r>
          </w:p>
        </w:tc>
        <w:tc>
          <w:tcPr>
            <w:tcW w:type="dxa" w:w="1856"/>
            <w:shd w:val="clear" w:fill="D9EAF7"/>
            <w:vAlign w:val="center"/>
          </w:tcPr>
          <w:p>
            <w:r>
              <w:t>NSTEMI</w:t>
            </w:r>
          </w:p>
        </w:tc>
        <w:tc>
          <w:tcPr>
            <w:tcW w:type="dxa" w:w="1856"/>
            <w:shd w:val="clear" w:fill="D9EAF7"/>
            <w:vAlign w:val="center"/>
          </w:tcPr>
          <w:p>
            <w:r>
              <w:t>Antman et al. (2000)</w:t>
            </w:r>
          </w:p>
        </w:tc>
      </w:tr>
      <w:tr>
        <w:trPr>
          <w:tblHeader w:val="true"/>
        </w:trPr>
        <w:tc>
          <w:tcPr>
            <w:tcW w:type="dxa" w:w="1856"/>
            <w:shd w:val="clear" w:fill="D9EAF7"/>
            <w:vAlign w:val="center"/>
          </w:tcPr>
          <w:p>
            <w:r>
              <w:t>qSOFA</w:t>
            </w:r>
          </w:p>
        </w:tc>
        <w:tc>
          <w:tcPr>
            <w:tcW w:type="dxa" w:w="1856"/>
            <w:shd w:val="clear" w:fill="D9EAF7"/>
            <w:vAlign w:val="center"/>
          </w:tcPr>
          <w:p>
            <w:r>
              <w:t>0,650</w:t>
            </w:r>
          </w:p>
        </w:tc>
        <w:tc>
          <w:tcPr>
            <w:tcW w:type="dxa" w:w="1856"/>
            <w:shd w:val="clear" w:fill="D9EAF7"/>
            <w:vAlign w:val="center"/>
          </w:tcPr>
          <w:p>
            <w:r>
              <w:t>Sepsis</w:t>
            </w:r>
          </w:p>
        </w:tc>
        <w:tc>
          <w:tcPr>
            <w:tcW w:type="dxa" w:w="1856"/>
            <w:shd w:val="clear" w:fill="D9EAF7"/>
            <w:vAlign w:val="center"/>
          </w:tcPr>
          <w:p>
            <w:r>
              <w:t>Singer et al. (2016)</w:t>
            </w:r>
          </w:p>
        </w:tc>
      </w:tr>
      <w:tr>
        <w:trPr>
          <w:tblHeader w:val="true"/>
        </w:trPr>
        <w:tc>
          <w:tcPr>
            <w:tcW w:type="dxa" w:w="1856"/>
            <w:shd w:val="clear" w:fill="D9EAF7"/>
            <w:vAlign w:val="center"/>
          </w:tcPr>
          <w:p>
            <w:r>
              <w:t>Jentzer Score</w:t>
            </w:r>
          </w:p>
        </w:tc>
        <w:tc>
          <w:tcPr>
            <w:tcW w:type="dxa" w:w="1856"/>
            <w:shd w:val="clear" w:fill="D9EAF7"/>
            <w:vAlign w:val="center"/>
          </w:tcPr>
          <w:p>
            <w:r>
              <w:t>0,760</w:t>
            </w:r>
          </w:p>
        </w:tc>
        <w:tc>
          <w:tcPr>
            <w:tcW w:type="dxa" w:w="1856"/>
            <w:shd w:val="clear" w:fill="D9EAF7"/>
            <w:vAlign w:val="center"/>
          </w:tcPr>
          <w:p>
            <w:r>
              <w:t>SKG, CICU</w:t>
            </w:r>
          </w:p>
        </w:tc>
        <w:tc>
          <w:tcPr>
            <w:tcW w:type="dxa" w:w="1856"/>
            <w:shd w:val="clear" w:fill="D9EAF7"/>
            <w:vAlign w:val="center"/>
          </w:tcPr>
          <w:p>
            <w:r>
              <w:t>Jentzer et al. (2021)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