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xmlns:mc="http://schemas.openxmlformats.org/markup-compatibility/2006">
  <w:body>
    <w:sectPr w:rsidR="00FC693F" w:rsidRPr="0006063C" w:rsidSect="00034616">
      <w:pgSz w:w="9978" w:h="14173"/>
      <w:pgMar w:top="1276" w:right="1276" w:bottom="1276" w:left="1276" w:header="720" w:footer="720" w:gutter="0"/>
      <w:cols w:space="720"/>
      <w:docGrid w:linePitch="360"/>
    </w:sectPr>
    <w:p>
      <w:pPr>
        <w:spacing w:before="240" w:after="120" w:line="360" w:lineRule="auto"/>
        <w:jc w:val="center"/>
      </w:pPr>
      <w:r>
        <w:rPr>
          <w:rFonts w:ascii="Times New Roman" w:hAnsi="Times New Roman" w:cs="Times New Roman"/>
          <w:b/>
          <w:sz w:val="24"/>
          <w:szCs w:val="24"/>
        </w:rPr>
        <w:t>ABSTRAK</w:t>
      </w:r>
    </w:p>
    <w:p>
      <w:pPr>
        <w:spacing w:after="60" w:line="360" w:lineRule="auto"/>
        <w:ind w:firstLine="709"/>
        <w:jc w:val="both"/>
      </w:pPr>
      <w:r>
        <w:rPr>
          <w:rFonts w:ascii="Times New Roman" w:hAnsi="Times New Roman" w:cs="Times New Roman"/>
          <w:sz w:val="24"/>
          <w:szCs w:val="24"/>
          <w:i/>
        </w:rPr>
        <w:t xml:space="preserve">IZZAN RIJAL MUSLIM. *Model Random Forest untuk Prediksi Mortalitas In-Hospital pada Pasien Infark Miokard dengan Elevasi Segmen ST (STEMI) dan Tanpa Elevasi Segmen ST (NSTEMI) di Instalasi Gawat Darurat.*</w:t>
      </w:r>
    </w:p>
    <w:p>
      <w:pPr>
        <w:spacing w:after="60" w:line="360" w:lineRule="auto"/>
        <w:ind w:firstLine="709"/>
        <w:jc w:val="both"/>
      </w:pPr>
      <w:r>
        <w:t>Latar belakang: Mortalitas in-hospital pada sindrom koroner akut memerlukan stratifikasi risiko dini. Tujuan: Mengembangkan dan memvalidasi model Random Forest untuk mortalitas in-hospital pada pasien STEMI dan NSTEMI. Metode: Kohort retrospektif mencakup 1.524 pasien Killip I sampai III dengan 115 kematian. Tiga belas prediktor dianalisis menggunakan validasi silang lima lipat yang diulang pada sepuluh seed. Imputasi median dilakukan hanya pada data pelatihan setiap lipatan. Hasil: AUC vektor out-of-fold rerata adalah 0,819 (dibulatkan menjadi 0,818 pada ringkasan tesis). Rerata AUC antar seed adalah 0,816 ± 0,008, IK 95% 0,811 sampai 0,820, dengan rentang 0,802 sampai 0,825. Brier score adalah 0,061 dan AUPRC 0,301. Ambang safety 0,018 menghasilkan sensitivitas 98,3% dan spesifisitas 26,2%. AUC GRACE 2.0 adalah 0,777. Kesimpulan: Model memiliki diskriminasi yang baik, tetapi ambang klinis memerlukan validasi eksternal sebelum penerapan.</w:t>
      </w:r>
    </w:p>
    <w:p>
      <w:pPr>
        <w:spacing w:after="60" w:line="360" w:lineRule="auto"/>
        <w:ind w:firstLine="709"/>
        <w:jc w:val="both"/>
      </w:pPr>
      <w:r>
        <w:rPr>
          <w:rFonts w:ascii="Times New Roman" w:hAnsi="Times New Roman" w:cs="Times New Roman"/>
          <w:sz w:val="24"/>
          <w:szCs w:val="24"/>
          <w:b/>
        </w:rPr>
        <w:t xml:space="preserve">Kata kunci: mortalitas in-hospital; Random Forest; Sindrom Koroner Akut; pembelajaran mesin; prediksi dini; STEMI; NSTEMI</w:t>
      </w:r>
    </w:p>
    <w:p>
      <w:pPr>
        <w:spacing w:before="240" w:after="120" w:line="360" w:lineRule="auto"/>
        <w:jc w:val="center"/>
      </w:pPr>
      <w:r>
        <w:rPr>
          <w:rFonts w:ascii="Times New Roman" w:hAnsi="Times New Roman" w:cs="Times New Roman"/>
          <w:b/>
          <w:sz w:val="24"/>
          <w:szCs w:val="24"/>
        </w:rPr>
        <w:t>ABSTRACT</w:t>
      </w:r>
    </w:p>
    <w:p>
      <w:pPr>
        <w:spacing w:after="60" w:line="360" w:lineRule="auto"/>
        <w:ind w:firstLine="709"/>
        <w:jc w:val="both"/>
      </w:pPr>
      <w:r>
        <w:rPr>
          <w:rFonts w:ascii="Times New Roman" w:hAnsi="Times New Roman" w:cs="Times New Roman"/>
          <w:sz w:val="24"/>
          <w:szCs w:val="24"/>
          <w:i/>
        </w:rPr>
        <w:t xml:space="preserve">IZZAN RIJAL MUSLIM. *Random Forest Model for Predicting In-Hospital Mortality in Patients with ST-Segment Elevation Myocardial Infarction (STEMI) and Non-ST-Segment Elevation Myocardial Infarction (NSTEMI) in the Emergency Department.*</w:t>
      </w:r>
    </w:p>
    <w:p>
      <w:pPr>
        <w:spacing w:after="60" w:line="360" w:lineRule="auto"/>
        <w:ind w:firstLine="709"/>
        <w:jc w:val="both"/>
      </w:pPr>
      <w:r>
        <w:t>Background: Early mortality risk stratification is required in acute coronary syndrome. Objective: To develop and internally validate a Random Forest model for in-hospital mortality. Methods: This retrospective cohort included 1,524 Killip I to III patients and 115 deaths. Thirteen predictors were evaluated with five-fold cross-validation repeated over ten fixed seeds, with median imputation fitted within each training fold. Results: The mean out-of-fold prediction vector had an AUC of 0.819, reported as 0.818 in the thesis headline. Mean seed AUC was 0.816 ± 0.008 (95% CI 0.811 to 0.820; range 0.802 to 0.825). The Brier score was 0.061, AUPRC was 0.301, and GRACE 2.0 AUC was 0.777. Conclusion: The model showed good discrimination, while clinical thresholds require external validation.</w:t>
      </w:r>
    </w:p>
    <w:p>
      <w:pPr>
        <w:spacing w:after="60" w:line="360" w:lineRule="auto"/>
        <w:ind w:firstLine="709"/>
        <w:jc w:val="both"/>
      </w:pPr>
      <w:r>
        <w:rPr>
          <w:rFonts w:ascii="Times New Roman" w:hAnsi="Times New Roman" w:cs="Times New Roman"/>
          <w:sz w:val="24"/>
          <w:szCs w:val="24"/>
          <w:b/>
        </w:rPr>
        <w:t xml:space="preserve">Keywords: in-hospital mortality; Random Forest; Acute Coronary Syndrome; machine learning; early prediction; STEMI; NSTEMI</w:t>
      </w:r>
    </w:p>
    <w:p>
      <w:pPr>
        <w:spacing w:before="240" w:after="120" w:line="360" w:lineRule="auto"/>
        <w:jc w:val="center"/>
      </w:pPr>
      <w:r>
        <w:rPr>
          <w:rFonts w:ascii="Times New Roman" w:hAnsi="Times New Roman" w:cs="Times New Roman"/>
          <w:b/>
          <w:sz w:val="24"/>
          <w:szCs w:val="24"/>
        </w:rPr>
        <w:t>BAB I</w:t>
      </w:r>
    </w:p>
    <w:p>
      <w:pPr>
        <w:spacing w:before="240" w:after="120" w:line="360" w:lineRule="auto"/>
        <w:jc w:val="center"/>
      </w:pPr>
      <w:r>
        <w:rPr>
          <w:rFonts w:ascii="Times New Roman" w:hAnsi="Times New Roman" w:cs="Times New Roman"/>
          <w:b/>
          <w:sz w:val="24"/>
          <w:szCs w:val="24"/>
        </w:rPr>
        <w:t>PENDAHULUAN</w:t>
      </w:r>
    </w:p>
    <w:p>
      <w:pPr>
        <w:spacing w:before="120" w:after="60" w:line="360" w:lineRule="auto"/>
        <w:ind w:firstLine="0"/>
        <w:jc w:val="left"/>
      </w:pPr>
      <w:r>
        <w:rPr>
          <w:rFonts w:ascii="Times New Roman" w:hAnsi="Times New Roman" w:cs="Times New Roman"/>
          <w:b/>
          <w:sz w:val="24"/>
          <w:szCs w:val="24"/>
        </w:rPr>
        <w:t>1.1 Latar Belakang</w:t>
      </w:r>
    </w:p>
    <w:p>
      <w:pPr>
        <w:spacing w:after="60" w:line="360" w:lineRule="auto"/>
        <w:ind w:firstLine="709"/>
        <w:jc w:val="both"/>
      </w:pPr>
      <w:r>
        <w:rPr>
          <w:rFonts w:ascii="Times New Roman" w:hAnsi="Times New Roman" w:cs="Times New Roman"/>
          <w:sz w:val="24"/>
          <w:szCs w:val="24"/>
        </w:rPr>
        <w:t>Sindrom Koroner Akut (SKA) adalah manifestasi klinis paling kritis dari penyakit jantung koroner dan masih jadi penyebab utama kematian akibat penyakit kardiovaskular di seluruh dunia. SKA mencakup spektrum dari angina tidak stabil sampai infark miokard dengan elevasi segmen ST (STEMI) dan tanpa elevasi segmen ST (NSTEMI), yang dipicu oleh iskemia jantung akut karena aliran darah koroner berkurang mendadak (Thygesen et al., 2018). Data European Society of Cardiology menunjukkan penyakit kardiovaskular masih jadi penyebab kematian nomor satu di dunia, dan SKA menyumbang bagian yang besar terhadap angka kesakitan, kematian, dan biaya perawatan kesehatan (Timmis et al., 2022). Di Indonesia, beban SKA makin berat karena faktor risiko tradisional masih tinggi dan akses ke layanan kesehatan masih terbatas.</w:t>
      </w:r>
    </w:p>
    <w:p>
      <w:pPr>
        <w:spacing w:after="60" w:line="360" w:lineRule="auto"/>
        <w:ind w:firstLine="709"/>
        <w:jc w:val="both"/>
      </w:pPr>
      <w:r>
        <w:rPr>
          <w:rFonts w:ascii="Times New Roman" w:hAnsi="Times New Roman" w:cs="Times New Roman"/>
          <w:sz w:val="24"/>
          <w:szCs w:val="24"/>
        </w:rPr>
        <w:t>Di antara berbagai luaran yang perlu diprediksi pada SKA, mortalitas in-hospital adalah yang paling penting karena merupakan luaran final yang menjadi perhatian utama klinisi. Mortalitas pada pasien SKA masih tinggi meskipun telah ada kemajuan dalam tata laksana reperfusi dan farmakoterapi. Kondisi ini terjadi pada sekitar 4% sampai 12% pasien SKA (Chioncel et al., 2020). Angka kematian di rumah sakit berkisar antara 30% sampai 50% (Tehrani et al., 2020; Jajcay et al., 2023), bahkan di zaman sekarang dengan pemasangan ring jantung darurat dan alat bantu sirkulasi yang sudah canggih. Salah satu alasan utama kenapa pengobatan sering gagal adalah karena diagnosis dan tindakan datang terlambat. Begitu gejala SKG sudah jelas, seperti tekanan darah sangat rendah, kencing sedikit, atau kesadaran menurun, lingkaran setan di dalam tubuh sudah berjalan dan sulit dihentikan. Lingkaran ini dimulai dari iskemia yang bikin otot jantung makin lemah, lalu curah jantung turun, makin memperparah iskemia, dan akhirnya menyebabkan kegagalan banyak organ yang tidak bisa balik lagi (Thiele et al., 2019).</w:t>
      </w:r>
    </w:p>
    <w:p>
      <w:pPr>
        <w:spacing w:after="60" w:line="360" w:lineRule="auto"/>
        <w:ind w:firstLine="709"/>
        <w:jc w:val="both"/>
      </w:pPr>
      <w:r>
        <w:rPr>
          <w:rFonts w:ascii="Times New Roman" w:hAnsi="Times New Roman" w:cs="Times New Roman"/>
          <w:sz w:val="24"/>
          <w:szCs w:val="24"/>
        </w:rPr>
        <w:t>Prediksi dini mortalitas pada pasien SKA yang baru datang ke IGD adalah kebutuhan yang mendesak. Kalau kita bisa tahu pasien mana yang berisiko tinggi sejak awal, kita bisa monitor lebih ketat, memberi obat lebih agresif, dan mempertimbangkan alat bantu jantung sebelum pasien kolaps (Acharya, 2018).</w:t>
      </w:r>
    </w:p>
    <w:p>
      <w:pPr>
        <w:spacing w:after="60" w:line="360" w:lineRule="auto"/>
        <w:ind w:firstLine="709"/>
        <w:jc w:val="both"/>
      </w:pPr>
      <w:r>
        <w:rPr>
          <w:rFonts w:ascii="Times New Roman" w:hAnsi="Times New Roman" w:cs="Times New Roman"/>
          <w:sz w:val="24"/>
          <w:szCs w:val="24"/>
        </w:rPr>
        <w:t>Selama ini, dokter di IGD mengandalkan skor risiko seperti GRACE dan TIMI untuk memperkirakan risiko pasien. Skor ini memang berguna untuk memprediksi risiko kematian secara umum, tapi memiliki keterbatasan dalam menangkap interaksi non-linear antar variabel dan dan rumit seperti syok kardiogenik (Weng et al., 2017). Masalah utama skor-skor ini adalah mereka menganggap semua hubungan antar variabel itu linear, padahal kenyataannya interaksi antara berbagai faktor klinis, seperti tekanan darah, hasil lab, dan echo, jauh lebih rumit (Johnson et al., 2018).</w:t>
      </w:r>
    </w:p>
    <w:p>
      <w:pPr>
        <w:spacing w:before="120" w:after="60" w:line="360" w:lineRule="auto"/>
        <w:ind w:firstLine="0"/>
        <w:jc w:val="left"/>
      </w:pPr>
      <w:r>
        <w:rPr>
          <w:rFonts w:ascii="Times New Roman" w:hAnsi="Times New Roman" w:cs="Times New Roman"/>
          <w:b/>
          <w:sz w:val="24"/>
          <w:szCs w:val="24"/>
        </w:rPr>
        <w:t>1.1.1 Sindrom Koroner Akut (SKA)</w:t>
      </w:r>
    </w:p>
    <w:p>
      <w:pPr>
        <w:spacing w:after="60" w:line="360" w:lineRule="auto"/>
        <w:ind w:firstLine="709"/>
        <w:jc w:val="both"/>
      </w:pPr>
      <w:r>
        <w:rPr>
          <w:rFonts w:ascii="Times New Roman" w:hAnsi="Times New Roman" w:cs="Times New Roman"/>
          <w:sz w:val="24"/>
          <w:szCs w:val="24"/>
        </w:rPr>
        <w:t>SKA mencakup spektrum kondisi kegawatdaruratan kardiovaskular yang disebabkan oleh iskemia miokard akut akibat penurunan aliran darah koroner secara mendadak (Thygesen et al., 2018; Byrne et al., 2023). SKA secara klasik terbagi menjadi tiga entitas: angina pektoris tidak stabil (APTS), NSTEMI, dan STEMI (Nardin et al., 2023). Diferensiasi di antara ketiganya didasarkan pada evaluasi terpadu dari presentasi klinis, temuan EKG 12 sadapan, dan biomarker cedera miokard (Thygesen et al., 2018; Byrne et al., 2023).</w:t>
      </w:r>
    </w:p>
    <w:p>
      <w:pPr>
        <w:spacing w:after="60" w:line="360" w:lineRule="auto"/>
        <w:ind w:firstLine="709"/>
        <w:jc w:val="both"/>
      </w:pPr>
      <w:r>
        <w:rPr>
          <w:rFonts w:ascii="Times New Roman" w:hAnsi="Times New Roman" w:cs="Times New Roman"/>
          <w:sz w:val="24"/>
          <w:szCs w:val="24"/>
        </w:rPr>
        <w:t>Insidensi SKA menunjukkan disparitas antara negara maju dan berkembang. Faktor sosio-ekonomi yang rendah berkaitan dengan risiko lebih tinggi dan luaran lebih buruk akibat prevalensi faktor risiko tradisional yang lebih besar serta keterbatasan akses terhadap layanan kesehatan (Timmis et al., 2022).</w:t>
      </w:r>
    </w:p>
    <w:p>
      <w:pPr>
        <w:spacing w:after="60" w:line="360" w:lineRule="auto"/>
        <w:ind w:firstLine="709"/>
        <w:jc w:val="both"/>
      </w:pPr>
      <w:r>
        <w:rPr>
          <w:rFonts w:ascii="Times New Roman" w:hAnsi="Times New Roman" w:cs="Times New Roman"/>
          <w:sz w:val="24"/>
          <w:szCs w:val="24"/>
        </w:rPr>
        <w:t>Etiologi utama SKA adalah aterosklerosis koroner, yaitu proses patologis kronis yang ditandai oleh deposisi lipid, inflamasi, dan pembentukan plak di dinding arteri (Libby, 2021; Gulati et al., 2021). Manifestasi akut SKA terjadi ketika plak aterosklerotik mengalami destabilisasi melalui ruptur atau erosi, yang memicu pembentukan trombus intrakoroner (Nardin et al., 2023). Trombus yang kaya fibrin dengan oklusi total akan bermanifestasi sebagai STEMI, sedangkan trombus yang kaya trombosit dengan oklusi subtotal bermanifestasi sebagai NSTEMI atau APTS (Collet et al., 2021).</w:t>
      </w:r>
    </w:p>
    <w:p>
      <w:pPr>
        <w:spacing w:after="60" w:line="360" w:lineRule="auto"/>
        <w:ind w:firstLine="709"/>
        <w:jc w:val="both"/>
      </w:pPr>
      <w:r>
        <w:rPr>
          <w:rFonts w:ascii="Times New Roman" w:hAnsi="Times New Roman" w:cs="Times New Roman"/>
          <w:sz w:val="24"/>
          <w:szCs w:val="24"/>
        </w:rPr>
        <w:t>Pada tingkat seluler, penghentian aliran darah koroner menyebabkan deplesi ATP yang cepat, melumpuhkan pompa ion pada membran sel, dan memicu akumulasi kalsium intraseluler yang bersifat toksik (Lodrini dan Goumans, 2021). Apabila iskemia berlangsung lebih dari 20 hingga 30 menit, cedera sel yang awalnya reversibel menjadi ireversibel dan berujung pada kematian sel (Thygesen et al., 2018).</w:t>
      </w:r>
    </w:p>
    <w:p>
      <w:pPr>
        <w:spacing w:before="120" w:after="60" w:line="360" w:lineRule="auto"/>
        <w:ind w:firstLine="0"/>
        <w:jc w:val="left"/>
      </w:pPr>
      <w:r>
        <w:rPr>
          <w:rFonts w:ascii="Times New Roman" w:hAnsi="Times New Roman" w:cs="Times New Roman"/>
          <w:b/>
          <w:sz w:val="24"/>
          <w:szCs w:val="24"/>
        </w:rPr>
        <w:t>1.1.2 Mortalitas In-Hospital pada SKA</w:t>
      </w:r>
    </w:p>
    <w:p>
      <w:pPr>
        <w:spacing w:after="60" w:line="360" w:lineRule="auto"/>
        <w:ind w:firstLine="709"/>
        <w:jc w:val="both"/>
      </w:pPr>
      <w:r>
        <w:t>SKG adalah sindrom klinis yang ditandai oleh ketidakmampuan jantung memompa darah secara memadai, sehingga terjadi hipoperfusi jaringan sistemik (Baran et al., 2019). Berbeda dengan syok hipovolemik atau distributif, pada SKG volume intravaskular pasien sebenarnya memadai; masalah primer terletak pada disfungsi pompa jantung (Chioncel et al., 2020).</w:t>
      </w:r>
    </w:p>
    <w:p>
      <w:pPr>
        <w:spacing w:after="60" w:line="360" w:lineRule="auto"/>
        <w:ind w:firstLine="709"/>
        <w:jc w:val="both"/>
      </w:pPr>
      <w:r>
        <w:rPr>
          <w:rFonts w:ascii="Times New Roman" w:hAnsi="Times New Roman" w:cs="Times New Roman"/>
          <w:sz w:val="24"/>
          <w:szCs w:val="24"/>
        </w:rPr>
        <w:t>Diagnosis SKG ditegakkan apabila tekanan darah sistolik &lt;90 mmHg selama lebih dari 30 menit, atau diperlukan vasopresor untuk mempertahankan tekanan darah sistolik di atas 90 mmHg (Baran et al., 2019; Chioncel et al., 2020). Hipotensi harus disertai bukti klinis hipoperfusi jaringan, seperti penurunan kesadaran, ekstremitas dingin, dan oliguria.</w:t>
      </w:r>
    </w:p>
    <w:p>
      <w:pPr>
        <w:spacing w:after="60" w:line="360" w:lineRule="auto"/>
        <w:ind w:firstLine="709"/>
        <w:jc w:val="both"/>
      </w:pPr>
      <w:r>
        <w:rPr>
          <w:rFonts w:ascii="Times New Roman" w:hAnsi="Times New Roman" w:cs="Times New Roman"/>
          <w:sz w:val="24"/>
          <w:szCs w:val="24"/>
        </w:rPr>
        <w:t>Society for Cardiovascular Angiography and Interventions (SCAI) pada tahun 2019 memperkenalkan klasifikasi SKG menjadi lima stadium (Baran et al., 2019). Stadium A: pasien berisiko tapi belum ada gejala. Stadium B: tekanan darah mulai tidak stabil tapi belum ada tanda syok. Stadium C: syok klasik dengan aliran darah ke organ sudah berkurang. Stadium D: kondisi memburuk meskipun sudah diobati. Stadium E: tahap terminal dengan kolaps sirkulasi yang tidak bisa diperbaiki.</w:t>
      </w:r>
    </w:p>
    <w:p>
      <w:pPr>
        <w:spacing w:after="60" w:line="360" w:lineRule="auto"/>
        <w:ind w:firstLine="709"/>
        <w:jc w:val="both"/>
      </w:pPr>
      <w:r>
        <w:rPr>
          <w:rFonts w:ascii="Times New Roman" w:hAnsi="Times New Roman" w:cs="Times New Roman"/>
          <w:sz w:val="24"/>
          <w:szCs w:val="24"/>
        </w:rPr>
        <w:t>Patofisiologi SKG pada SKA digambarkan sebagai suatu lingkaran setan (Thiele dan Zeymer, 2018). Cedera miokard akibat infark menyebabkan penurunan kontraktilitas ventrikel, sehingga curah jantung menurun dan terjadi hipotensi sistemik. Hipotensi menurunkan tekanan perfusi arteri koroner, memperburuk iskemia, dan semakin menekan fungsi kontraktil.</w:t>
      </w:r>
    </w:p>
    <w:p>
      <w:pPr>
        <w:spacing w:after="60" w:line="360" w:lineRule="auto"/>
        <w:ind w:firstLine="709"/>
        <w:jc w:val="both"/>
      </w:pPr>
      <w:r>
        <w:t>Aktivasi sistem saraf simpatis dan aksis neurohormonal pada awalnya bersifat sebagai kompensasi, namun pada kondisi yang berkepanjangan menjadi tidak sesuai. Vasokonstriksi sistemik meningkatkan afterload dan takikardia meningkatkan konsumsi oksigen miokard, yang justru memperberat kerja jantung. Respons inflamasi sistemik yang masif dengan pelepasan mediator seperti TNF-α dan IL-6 memiliki efek kardiodepresan langsung (Chioncel et al., 2020; Tehrani et al., 2020).</w:t>
      </w:r>
    </w:p>
    <w:p>
      <w:pPr>
        <w:spacing w:before="120" w:after="60" w:line="360" w:lineRule="auto"/>
        <w:ind w:firstLine="0"/>
        <w:jc w:val="left"/>
      </w:pPr>
      <w:r>
        <w:rPr>
          <w:rFonts w:ascii="Times New Roman" w:hAnsi="Times New Roman" w:cs="Times New Roman"/>
          <w:b/>
          <w:sz w:val="24"/>
          <w:szCs w:val="24"/>
        </w:rPr>
        <w:t>1.1.3 Faktor Risiko dan Prediktor Mortalitas pada SKA</w:t>
      </w:r>
    </w:p>
    <w:p>
      <w:pPr>
        <w:spacing w:after="60" w:line="360" w:lineRule="auto"/>
        <w:ind w:firstLine="709"/>
        <w:jc w:val="both"/>
      </w:pPr>
      <w:r>
        <w:rPr>
          <w:rFonts w:ascii="Times New Roman" w:hAnsi="Times New Roman" w:cs="Times New Roman"/>
          <w:sz w:val="24"/>
          <w:szCs w:val="24"/>
        </w:rPr>
        <w:t>Prediksi dini progresi SKA menjadi SKG memerlukan sintesis dari berbagai faktor risiko, yang dapat diklasifikasikan menjadi faktor predisposisi pasien dan parameter klinis akut yang terukur saat admisi (Rahman et al., 2022).</w:t>
      </w:r>
    </w:p>
    <w:p>
      <w:pPr>
        <w:spacing w:after="60" w:line="360" w:lineRule="auto"/>
        <w:ind w:firstLine="709"/>
        <w:jc w:val="both"/>
      </w:pPr>
      <w:r>
        <w:rPr>
          <w:rFonts w:ascii="Times New Roman" w:hAnsi="Times New Roman" w:cs="Times New Roman"/>
          <w:sz w:val="24"/>
          <w:szCs w:val="24"/>
        </w:rPr>
        <w:t>Faktor predisposisi mencakup usia lanjut, diabetes melitus, hipertensi, dan penyakit arteri koroner yang telah lanjut (Holmes et al., 1999; Acharya, 2018; Jentzer et al., 2021). Usia lanjut berkaitan dengan penurunan cadangan kardiovaskular, sementara diabetes dan hipertensi mempercepat kerusakan mikrovaskular dan meningkatkan kerentanan miokardium terhadap cedera iskemik (Scheen et al., 2021; Xie et al., 2024).</w:t>
      </w:r>
    </w:p>
    <w:p>
      <w:pPr>
        <w:spacing w:after="60" w:line="360" w:lineRule="auto"/>
        <w:ind w:firstLine="709"/>
        <w:jc w:val="both"/>
      </w:pPr>
      <w:r>
        <w:rPr>
          <w:rFonts w:ascii="Times New Roman" w:hAnsi="Times New Roman" w:cs="Times New Roman"/>
          <w:sz w:val="24"/>
          <w:szCs w:val="24"/>
        </w:rPr>
        <w:t>Parameter klinis yang terukur saat admisi memiliki nilai prediktif yang tinggi. Tekanan darah saat admisi merupakan salah satu prediktor tunggal terkuat untuk perkembangan SKG (Gale et al., 2008). Hipotensi saat admisi mengindikasikan kegagalan pompa inisial dan secara langsung menurunkan tekanan perfusi koroner (Chioncel et al., 2020). Takikardia merupakan respons terhadap penurunan curah jantung, tetapi meningkatkan konsumsi oksigen miokard yang berpotensi memperluas zona iskemia (Thygesen et al., 2018). Hipoksemia yang merupakan manifestasi edema paru kardiogenik, berkorelasi dengan disfungsi ventrikel kiri yang berat (Chioncel et al., 2020).</w:t>
      </w:r>
    </w:p>
    <w:p>
      <w:pPr>
        <w:spacing w:after="60" w:line="360" w:lineRule="auto"/>
        <w:ind w:firstLine="709"/>
        <w:jc w:val="both"/>
      </w:pPr>
      <w:r>
        <w:rPr>
          <w:rFonts w:ascii="Times New Roman" w:hAnsi="Times New Roman" w:cs="Times New Roman"/>
          <w:sz w:val="24"/>
          <w:szCs w:val="24"/>
        </w:rPr>
        <w:t>Parameter laboratorium juga memberikan informasi prognostik penting. Penanda fungsi ginjal seperti ureum, kreatinin, dan eGFR adalah prediktor kuat luaran pada pasien SKA (Aragam et al., 2009). Disfungsi ginjal mencerminkan hipoperfusi organ yang sudah berlangsung dan merupakan penanda awal syok (Chioncel et al., 2020; Singh et al., 2021). Anemia menurunkan kapasitas angkut oksigen dan memperburuk ketidakseimbangan suplai-kebutuhan oksigen pada miokardium iskemik (Collet et al., 2021). Leukositosis mencerminkan intensitas respons inflamasi akibat nekrosis miosit dan berkorelasi dengan luas infark (Libby, 2021). Hiperglikemia stres didorong oleh pelepasan katekolamin dan kortisol, dan kadarnya mencerminkan beratnya respons stres fisiologis (Byrne et al., 2023).</w:t>
      </w:r>
    </w:p>
    <w:p>
      <w:pPr>
        <w:spacing w:after="60" w:line="360" w:lineRule="auto"/>
        <w:ind w:firstLine="709"/>
        <w:jc w:val="both"/>
      </w:pPr>
      <w:r>
        <w:rPr>
          <w:rFonts w:ascii="Times New Roman" w:hAnsi="Times New Roman" w:cs="Times New Roman"/>
          <w:sz w:val="24"/>
          <w:szCs w:val="24"/>
        </w:rPr>
        <w:t>Pemeriksaan ekokardiografi mengevaluasi fungsi jantung secara langsung. LVEF adalah parameter standar untuk menilai fungsi sistolik global ventrikel kiri, dengan nilai &lt;40% yang menunjukkan disfungsi berat (Acharya, 2018; Ibanez et al., 2018). TAPSE menilai fungsi sistolik ventrikel kanan, dan penurunannya merupakan prediktor independen untuk mortalitas pada pasien SKG (Chioncel et al., 2020). Dimensi ventrikel kiri (LVEDD) dan parameter fungsi diastolik (rasio E/A) memberikan informasi komplementer mengenai remodeling ventrikel dan tekanan pengisian (Lang et al., 2015).</w:t>
      </w:r>
    </w:p>
    <w:p>
      <w:pPr>
        <w:spacing w:before="120" w:after="60" w:line="360" w:lineRule="auto"/>
        <w:ind w:firstLine="0"/>
        <w:jc w:val="left"/>
      </w:pPr>
      <w:r>
        <w:rPr>
          <w:rFonts w:ascii="Times New Roman" w:hAnsi="Times New Roman" w:cs="Times New Roman"/>
          <w:b/>
          <w:sz w:val="24"/>
          <w:szCs w:val="24"/>
        </w:rPr>
        <w:t>1.1.4 Keterbatasan Skor Risiko Konvensional dan Peran Machine Learning</w:t>
      </w:r>
    </w:p>
    <w:p>
      <w:pPr>
        <w:spacing w:after="60" w:line="360" w:lineRule="auto"/>
        <w:ind w:firstLine="709"/>
        <w:jc w:val="both"/>
      </w:pPr>
      <w:r>
        <w:rPr>
          <w:rFonts w:ascii="Times New Roman" w:hAnsi="Times New Roman" w:cs="Times New Roman"/>
          <w:sz w:val="24"/>
          <w:szCs w:val="24"/>
        </w:rPr>
        <w:t>Skor TIMI dan GRACE telah terbukti bermanfaat untuk memprediksi luaran umum pada pasien SKA (Aragam et al., 2009). Namun, untuk memprediksi kejadian yang lebih spesifik seperti syok kardiogenik, performanya kurang optimal (Weng et al., 2017). Keterbatasan utama skor konvensional terletak pada asumsi linearitas model regresi, yang tidak dapat menangkap interaksi non-linear kompleks antar variabel (Johnson et al., 2018).</w:t>
      </w:r>
    </w:p>
    <w:p>
      <w:pPr>
        <w:spacing w:after="60" w:line="360" w:lineRule="auto"/>
        <w:ind w:firstLine="709"/>
        <w:jc w:val="both"/>
      </w:pPr>
      <w:r>
        <w:rPr>
          <w:rFonts w:ascii="Times New Roman" w:hAnsi="Times New Roman" w:cs="Times New Roman"/>
          <w:sz w:val="24"/>
          <w:szCs w:val="24"/>
        </w:rPr>
        <w:t>Machine learning (ML) menawarkan paradigma alternatif dengan kemampuan belajar langsung dari data tanpa memerlukan pemrograman eksplisit (Rajkomar et al., 2019). Keunggulan ML terletak pada kemampuannya mengenali pola non-linear dan interaktif dalam data berdimensi tinggi (Johnson et al., 2018). Namun, aplikasi ML dalam klinis menghadapi tantangan kualitas data, karena data rekam medis elektronik sering tidak lengkap dan memiliki derau yang tinggi (Johnson et al., 2018; Rajkomar et al., 2019). Tantangan lain adalah isu interpretabilitas, yang sering disebut sebagai masalah black box, di mana kompleksitas model menyulitkan pemahaman rasionalisasi di balik prediksi (Rajkomar et al., 2019).</w:t>
      </w:r>
    </w:p>
    <w:p>
      <w:pPr>
        <w:spacing w:before="120" w:after="60" w:line="360" w:lineRule="auto"/>
        <w:ind w:firstLine="0"/>
        <w:jc w:val="left"/>
      </w:pPr>
      <w:r>
        <w:rPr>
          <w:rFonts w:ascii="Times New Roman" w:hAnsi="Times New Roman" w:cs="Times New Roman"/>
          <w:b/>
          <w:sz w:val="24"/>
          <w:szCs w:val="24"/>
        </w:rPr>
        <w:t>1.1.5 Random Forest sebagai Algoritma Pilihan</w:t>
      </w:r>
    </w:p>
    <w:p>
      <w:pPr>
        <w:spacing w:after="60" w:line="360" w:lineRule="auto"/>
        <w:ind w:firstLine="709"/>
        <w:jc w:val="both"/>
      </w:pPr>
      <w:r>
        <w:rPr>
          <w:rFonts w:ascii="Times New Roman" w:hAnsi="Times New Roman" w:cs="Times New Roman"/>
          <w:sz w:val="24"/>
          <w:szCs w:val="24"/>
        </w:rPr>
        <w:t xml:space="preserve">Random Forest adalah algoritma ensemble learning yang membangun banyak pohon keputusan (decision trees) secara independen dan menggabungkan hasilnya melalui mekanisme rata-rata (averaging) untuk tugas regresi atau voting mayoritas untuk tugas klasifikasi (Breiman, 2001). Setiap pohon dalam Random Forest dilatih pada subset data yang diambil secara bootstrap (bagging) dan hanya mempertimbangkan subset acak dari fitur pada setiap pemisahan node, yang mengurangi korelasi antar pohon dan meningkatkan generalisasi.</w:t>
      </w:r>
    </w:p>
    <w:p>
      <w:pPr>
        <w:spacing w:after="60" w:line="360" w:lineRule="auto"/>
        <w:ind w:firstLine="709"/>
        <w:jc w:val="both"/>
      </w:pPr>
      <w:r>
        <w:rPr>
          <w:rFonts w:ascii="Times New Roman" w:hAnsi="Times New Roman" w:cs="Times New Roman"/>
          <w:sz w:val="24"/>
          <w:szCs w:val="24"/>
        </w:rPr>
        <w:t>Pemilihan Random Forest dalam penelitian ini didasarkan pada beberapa pertimbangan. Pertama, kemampuannya menangkap interaksi non-linear kompleks antar variabel tanpa memerlukan asumsi distribusi tertentu. Kedua, Random Forest memberikan informasi feature importance (Gini importance) yang intuitif untuk interpretasi klinis. Ketiga, algoritma ini relatif robust terhadap overfitting dan data hilang. Sebagai perbandingan, algoritma XGBoost juga digunakan untuk mengevaluasi apakah performanya dapat melampaui Random Forest pada dataset yang sama.cara internal melalui algoritma sparsity-aware, yang mengurangi kebutuhan imputasi dan potensi bias. Ketiga, regularisasi L1 dan L2 terintegrasi untuk mencegah overfitting dan meningkatkan generalisabilitas. Keempat, penyediaan metrik feature importance yang memungkinkan interpretasi model serta identifikasi variabel yang paling berkontribusi dalam prediksi (Chen dan Guestrin, 2016).</w:t>
      </w:r>
    </w:p>
    <w:p>
      <w:pPr>
        <w:spacing w:after="60" w:line="360" w:lineRule="auto"/>
        <w:ind w:firstLine="709"/>
        <w:jc w:val="both"/>
      </w:pPr>
      <w:r>
        <w:rPr>
          <w:rFonts w:ascii="Times New Roman" w:hAnsi="Times New Roman" w:cs="Times New Roman"/>
          <w:sz w:val="24"/>
          <w:szCs w:val="24"/>
        </w:rPr>
        <w:t>Pusat Jantung Terpadu RSUP Dr. Wahidin Sudirohusodo sebagai pusat rujukan jantung utama di Indonesia Timur menangani volume kasus SKA yang tinggi dengan spektrum keparahan yang luas. Namun hingga saat ini belum ada model prediksi mortalitas in-hospital yang dikembangkan dan divalidasi secara spesifik untuk populasi di pusat layanan ini. Pengembangan model prediksi yang akurat dan aplikatif di IGD, dengan memanfaatkan data yang tersedia secara rutin, merupakan langkah strategis untuk meningkatkan kualitas tatalaksana dan luaran pasien SKA. Oleh karena itu, penelitian ini bertujuan mengembangkan dan mengevaluasi model prediksi berbasis algoritma XGBoost untuk kejadian syok kardiogenik pada pasien STEMI dan NSTEMI.</w:t>
      </w:r>
    </w:p>
    <w:p>
      <w:pPr>
        <w:spacing w:before="120" w:after="60" w:line="360" w:lineRule="auto"/>
        <w:ind w:firstLine="0"/>
        <w:jc w:val="left"/>
      </w:pPr>
      <w:r>
        <w:rPr>
          <w:rFonts w:ascii="Times New Roman" w:hAnsi="Times New Roman" w:cs="Times New Roman"/>
          <w:b/>
          <w:sz w:val="24"/>
          <w:szCs w:val="24"/>
        </w:rPr>
        <w:t>1.2 Rumusan Masalah</w:t>
      </w:r>
    </w:p>
    <w:p>
      <w:pPr>
        <w:spacing w:after="60" w:line="360" w:lineRule="auto"/>
        <w:ind w:firstLine="709"/>
        <w:jc w:val="both"/>
      </w:pPr>
      <w:r>
        <w:rPr>
          <w:rFonts w:ascii="Times New Roman" w:hAnsi="Times New Roman" w:cs="Times New Roman"/>
          <w:sz w:val="24"/>
          <w:szCs w:val="24"/>
        </w:rPr>
        <w:t>1. Variabel klinis, elektrokardiografi, laboratorium, dan ekokardiografi apa pada saat admisi IGD yang berperan signifikan sebagai prediktor mortalitas in-hospital pada pasien STEMI dan NSTEMI?</w:t>
      </w:r>
    </w:p>
    <w:p>
      <w:pPr>
        <w:spacing w:after="60" w:line="360" w:lineRule="auto"/>
        <w:ind w:firstLine="709"/>
        <w:jc w:val="both"/>
      </w:pPr>
      <w:r>
        <w:rPr>
          <w:rFonts w:ascii="Times New Roman" w:hAnsi="Times New Roman" w:cs="Times New Roman"/>
          <w:sz w:val="24"/>
          <w:szCs w:val="24"/>
        </w:rPr>
        <w:t>2. Bagaimana performa (akurasi, diskriminasi, dan kalibrasi) model prediksi berbasis algoritma Random Forest dalam mengidentifikasi risiko mortalitas in-hospital pada populasi penelitian?</w:t>
      </w:r>
    </w:p>
    <w:p>
      <w:pPr>
        <w:spacing w:before="120" w:after="60" w:line="360" w:lineRule="auto"/>
        <w:ind w:firstLine="0"/>
        <w:jc w:val="left"/>
      </w:pPr>
      <w:r>
        <w:rPr>
          <w:rFonts w:ascii="Times New Roman" w:hAnsi="Times New Roman" w:cs="Times New Roman"/>
          <w:b/>
          <w:sz w:val="24"/>
          <w:szCs w:val="24"/>
        </w:rPr>
        <w:t>1.3 Tujuan Penelitian</w:t>
      </w:r>
    </w:p>
    <w:p>
      <w:pPr>
        <w:spacing w:before="120" w:after="60" w:line="360" w:lineRule="auto"/>
        <w:ind w:firstLine="0"/>
        <w:jc w:val="left"/>
      </w:pPr>
      <w:r>
        <w:rPr>
          <w:rFonts w:ascii="Times New Roman" w:hAnsi="Times New Roman" w:cs="Times New Roman"/>
          <w:b/>
          <w:sz w:val="24"/>
          <w:szCs w:val="24"/>
        </w:rPr>
        <w:t>1.3.1 Tujuan Umum</w:t>
      </w:r>
    </w:p>
    <w:p>
      <w:pPr>
        <w:spacing w:after="60" w:line="360" w:lineRule="auto"/>
        <w:ind w:firstLine="709"/>
        <w:jc w:val="both"/>
      </w:pPr>
      <w:r>
        <w:rPr>
          <w:rFonts w:ascii="Times New Roman" w:hAnsi="Times New Roman" w:cs="Times New Roman"/>
          <w:sz w:val="24"/>
          <w:szCs w:val="24"/>
        </w:rPr>
        <w:t>Mengembangkan dan memvalidasi model prediksi dini mortalitas in-hospital berbasis algoritma Random Forest pada pasien STEMI dan NSTEMI yang datang ke IGD Pusat Jantung Terpadu RSUP Dr. Wahidin Sudirohusodo.</w:t>
      </w:r>
    </w:p>
    <w:p>
      <w:pPr>
        <w:spacing w:before="120" w:after="60" w:line="360" w:lineRule="auto"/>
        <w:ind w:firstLine="0"/>
        <w:jc w:val="left"/>
      </w:pPr>
      <w:r>
        <w:rPr>
          <w:rFonts w:ascii="Times New Roman" w:hAnsi="Times New Roman" w:cs="Times New Roman"/>
          <w:b/>
          <w:sz w:val="24"/>
          <w:szCs w:val="24"/>
        </w:rPr>
        <w:t>1.3.2 Tujuan Khusus</w:t>
      </w:r>
    </w:p>
    <w:p>
      <w:pPr>
        <w:spacing w:after="60" w:line="360" w:lineRule="auto"/>
        <w:ind w:firstLine="709"/>
        <w:jc w:val="both"/>
      </w:pPr>
      <w:r>
        <w:rPr>
          <w:rFonts w:ascii="Times New Roman" w:hAnsi="Times New Roman" w:cs="Times New Roman"/>
          <w:sz w:val="24"/>
          <w:szCs w:val="24"/>
        </w:rPr>
        <w:t>1. Mengidentifikasi variabel klinis, elektrokardiografi, laboratorium, dan ekokardiografi yang signifikan saat admisi IGD sebagai prediktor mortalitas in-hospital pada pasien STEMI dan NSTEMI.</w:t>
      </w:r>
    </w:p>
    <w:p>
      <w:pPr>
        <w:spacing w:after="60" w:line="360" w:lineRule="auto"/>
        <w:ind w:firstLine="709"/>
        <w:jc w:val="both"/>
      </w:pPr>
      <w:r>
        <w:rPr>
          <w:rFonts w:ascii="Times New Roman" w:hAnsi="Times New Roman" w:cs="Times New Roman"/>
          <w:sz w:val="24"/>
          <w:szCs w:val="24"/>
        </w:rPr>
        <w:t>2. Membangun model prediksi mortalitas in-hospital menggunakan algoritma Random Forest berdasarkan variabel terpilih.</w:t>
      </w:r>
    </w:p>
    <w:p>
      <w:pPr>
        <w:spacing w:after="60" w:line="360" w:lineRule="auto"/>
        <w:ind w:firstLine="709"/>
        <w:jc w:val="both"/>
      </w:pPr>
      <w:r>
        <w:rPr>
          <w:rFonts w:ascii="Times New Roman" w:hAnsi="Times New Roman" w:cs="Times New Roman"/>
          <w:sz w:val="24"/>
          <w:szCs w:val="24"/>
        </w:rPr>
        <w:t>3. Mengevaluasi performa model Random Forest (akurasi, diskriminasi, dan kalibrasi) serta membandingkannya dengan model XGBoost pada data validasi internal.</w:t>
      </w:r>
    </w:p>
    <w:p>
      <w:pPr>
        <w:spacing w:before="120" w:after="60" w:line="360" w:lineRule="auto"/>
        <w:ind w:firstLine="0"/>
        <w:jc w:val="left"/>
      </w:pPr>
      <w:r>
        <w:rPr>
          <w:rFonts w:ascii="Times New Roman" w:hAnsi="Times New Roman" w:cs="Times New Roman"/>
          <w:b/>
          <w:sz w:val="24"/>
          <w:szCs w:val="24"/>
        </w:rPr>
        <w:t>1.4 Manfaat Penelitian</w:t>
      </w:r>
    </w:p>
    <w:p>
      <w:pPr>
        <w:spacing w:before="120" w:after="60" w:line="360" w:lineRule="auto"/>
        <w:ind w:firstLine="0"/>
        <w:jc w:val="left"/>
      </w:pPr>
      <w:r>
        <w:rPr>
          <w:rFonts w:ascii="Times New Roman" w:hAnsi="Times New Roman" w:cs="Times New Roman"/>
          <w:b/>
          <w:sz w:val="24"/>
          <w:szCs w:val="24"/>
        </w:rPr>
        <w:t>1.4.1 Manfaat Teoritis</w:t>
      </w:r>
    </w:p>
    <w:p>
      <w:pPr>
        <w:spacing w:after="60" w:line="360" w:lineRule="auto"/>
        <w:ind w:firstLine="709"/>
        <w:jc w:val="both"/>
      </w:pPr>
      <w:r>
        <w:rPr>
          <w:rFonts w:ascii="Times New Roman" w:hAnsi="Times New Roman" w:cs="Times New Roman"/>
          <w:sz w:val="24"/>
          <w:szCs w:val="24"/>
        </w:rPr>
        <w:t>Penelitian ini diharapkan menambah wawasan tentang penerapan machine learning, khususnya Random Forest, dalam prediksi mortalitas SKA pada populasi Indonesia dan memperkaya literatur tentang variabel prediktor mortalitas yang relevan secara lokal.</w:t>
      </w:r>
    </w:p>
    <w:p>
      <w:pPr>
        <w:spacing w:before="120" w:after="60" w:line="360" w:lineRule="auto"/>
        <w:ind w:firstLine="0"/>
        <w:jc w:val="left"/>
      </w:pPr>
      <w:r>
        <w:rPr>
          <w:rFonts w:ascii="Times New Roman" w:hAnsi="Times New Roman" w:cs="Times New Roman"/>
          <w:b/>
          <w:sz w:val="24"/>
          <w:szCs w:val="24"/>
        </w:rPr>
        <w:t>1.4.2 Manfaat Klinis</w:t>
      </w:r>
    </w:p>
    <w:p>
      <w:pPr>
        <w:spacing w:after="60" w:line="360" w:lineRule="auto"/>
        <w:ind w:firstLine="709"/>
        <w:jc w:val="both"/>
      </w:pPr>
      <w:r>
        <w:rPr>
          <w:rFonts w:ascii="Times New Roman" w:hAnsi="Times New Roman" w:cs="Times New Roman"/>
          <w:sz w:val="24"/>
          <w:szCs w:val="24"/>
        </w:rPr>
        <w:t>1. Model yang dihasilkan diharapkan menjadi alat bantu keputusan yang cepat dan akurat bagi dokter IGD untuk mengenali pasien berisiko tinggi, sehingga tatalaksana definitif dapat dipercepat dan mortalitas dapat dikurangi.</w:t>
      </w:r>
    </w:p>
    <w:p>
      <w:pPr>
        <w:spacing w:after="60" w:line="360" w:lineRule="auto"/>
        <w:ind w:firstLine="709"/>
        <w:jc w:val="both"/>
      </w:pPr>
      <w:r>
        <w:rPr>
          <w:rFonts w:ascii="Times New Roman" w:hAnsi="Times New Roman" w:cs="Times New Roman"/>
          <w:sz w:val="24"/>
          <w:szCs w:val="24"/>
        </w:rPr>
        <w:t>2. Penelitian ini diharapkan memberikan informasi untuk bahan pertimbangan dalam pengembangan sistem prediksi dini syok kardiogenik di fasilitas kesehatan.</w:t>
      </w:r>
    </w:p>
    <w:p>
      <w:pPr>
        <w:spacing w:after="60" w:line="360" w:lineRule="auto"/>
        <w:ind w:firstLine="709"/>
        <w:jc w:val="both"/>
      </w:pPr>
      <w:r>
        <w:rPr>
          <w:rFonts w:ascii="Times New Roman" w:hAnsi="Times New Roman" w:cs="Times New Roman"/>
          <w:sz w:val="24"/>
          <w:szCs w:val="24"/>
        </w:rPr>
        <w:t>3. Data yang dihasilkan dapat menjadi sumber untuk penelitian terkait penerapan machine learning dalam bidang kedokteran di masa mendatang.</w:t>
      </w:r>
    </w:p>
    <w:p>
      <w:pPr>
        <w:spacing w:before="240" w:after="120" w:line="360" w:lineRule="auto"/>
        <w:jc w:val="center"/>
      </w:pPr>
      <w:r>
        <w:rPr>
          <w:rFonts w:ascii="Times New Roman" w:hAnsi="Times New Roman" w:cs="Times New Roman"/>
          <w:b/>
          <w:sz w:val="24"/>
          <w:szCs w:val="24"/>
        </w:rPr>
        <w:t>BAB II</w:t>
      </w:r>
    </w:p>
    <w:p>
      <w:pPr>
        <w:spacing w:before="240" w:after="120" w:line="360" w:lineRule="auto"/>
        <w:jc w:val="center"/>
      </w:pPr>
      <w:r>
        <w:rPr>
          <w:rFonts w:ascii="Times New Roman" w:hAnsi="Times New Roman" w:cs="Times New Roman"/>
          <w:b/>
          <w:sz w:val="24"/>
          <w:szCs w:val="24"/>
        </w:rPr>
        <w:t>METODE PENELITIAN</w:t>
      </w:r>
    </w:p>
    <w:p>
      <w:pPr>
        <w:spacing w:before="120" w:after="60" w:line="360" w:lineRule="auto"/>
        <w:ind w:firstLine="0"/>
        <w:jc w:val="left"/>
      </w:pPr>
      <w:r>
        <w:rPr>
          <w:rFonts w:ascii="Times New Roman" w:hAnsi="Times New Roman" w:cs="Times New Roman"/>
          <w:b/>
          <w:sz w:val="24"/>
          <w:szCs w:val="24"/>
        </w:rPr>
        <w:t>2.1 Desain Penelitian</w:t>
      </w:r>
    </w:p>
    <w:p>
      <w:pPr>
        <w:spacing w:after="60" w:line="360" w:lineRule="auto"/>
        <w:ind w:firstLine="709"/>
        <w:jc w:val="both"/>
      </w:pPr>
      <w:r>
        <w:rPr>
          <w:rFonts w:ascii="Times New Roman" w:hAnsi="Times New Roman" w:cs="Times New Roman"/>
          <w:sz w:val="24"/>
          <w:szCs w:val="24"/>
        </w:rPr>
        <w:t>Penelitian ini merupakan studi analitik observasional dengan desain kohort retrospektif untuk mengembangkan dan memvalidasi model prediksi dini kejadian syok kardiogenik pada pasien dengan diagnosis STEMI dan NSTEMI yang masuk melalui IGD.</w:t>
      </w:r>
    </w:p>
    <w:p>
      <w:pPr>
        <w:spacing w:before="120" w:after="60" w:line="360" w:lineRule="auto"/>
        <w:ind w:firstLine="0"/>
        <w:jc w:val="left"/>
      </w:pPr>
      <w:r>
        <w:rPr>
          <w:rFonts w:ascii="Times New Roman" w:hAnsi="Times New Roman" w:cs="Times New Roman"/>
          <w:b/>
          <w:sz w:val="24"/>
          <w:szCs w:val="24"/>
        </w:rPr>
        <w:t>2.2 Tempat dan Waktu Penelitian</w:t>
      </w:r>
    </w:p>
    <w:p>
      <w:pPr>
        <w:spacing w:after="60" w:line="360" w:lineRule="auto"/>
        <w:ind w:firstLine="709"/>
        <w:jc w:val="both"/>
      </w:pPr>
      <w:r>
        <w:rPr>
          <w:rFonts w:ascii="Times New Roman" w:hAnsi="Times New Roman" w:cs="Times New Roman"/>
          <w:sz w:val="24"/>
          <w:szCs w:val="24"/>
        </w:rPr>
        <w:t>Penelitian dilaksanakan di Pusat Jantung Terpadu RSUP Dr. Wahidin Sudirohusodo, Makassar. Data pasien yang digunakan adalah data yang tercatat dalam Makassar ACS Registry dan rekam medis elektronik periode 1 Januari 2024 hingga 31 Desember 2025.</w:t>
      </w:r>
    </w:p>
    <w:p>
      <w:pPr>
        <w:spacing w:before="120" w:after="60" w:line="360" w:lineRule="auto"/>
        <w:ind w:firstLine="0"/>
        <w:jc w:val="left"/>
      </w:pPr>
      <w:r>
        <w:rPr>
          <w:rFonts w:ascii="Times New Roman" w:hAnsi="Times New Roman" w:cs="Times New Roman"/>
          <w:b/>
          <w:sz w:val="24"/>
          <w:szCs w:val="24"/>
        </w:rPr>
        <w:t>2.3 Populasi dan Sampel</w:t>
      </w:r>
    </w:p>
    <w:p>
      <w:pPr>
        <w:spacing w:after="60" w:line="360" w:lineRule="auto"/>
        <w:ind w:firstLine="709"/>
        <w:jc w:val="both"/>
      </w:pPr>
      <w:r>
        <w:rPr>
          <w:rFonts w:ascii="Times New Roman" w:hAnsi="Times New Roman" w:cs="Times New Roman"/>
          <w:sz w:val="24"/>
          <w:szCs w:val="24"/>
        </w:rPr>
        <w:t>Populasi target adalah seluruh pasien dewasa yang datang ke IGD dan didiagnosis dengan SKA (STEMI atau NSTEMI) di RSUP Dr. Wahidin Sudirohusodo. Sampel penelitian adalah seluruh pasien dalam populasi target selama periode penelitian yang memenuhi kriteria inklusi dan tidak memiliki kriteria eksklusi. Pengambilan sampel dilakukan dengan metode total sampling.</w:t>
      </w:r>
    </w:p>
    <w:p>
      <w:pPr>
        <w:spacing w:before="120" w:after="60" w:line="360" w:lineRule="auto"/>
        <w:ind w:firstLine="0"/>
        <w:jc w:val="left"/>
      </w:pPr>
      <w:r>
        <w:rPr>
          <w:rFonts w:ascii="Times New Roman" w:hAnsi="Times New Roman" w:cs="Times New Roman"/>
          <w:b/>
          <w:sz w:val="24"/>
          <w:szCs w:val="24"/>
        </w:rPr>
        <w:t>2.4 Kriteria Inklusi dan Eksklusi</w:t>
      </w:r>
    </w:p>
    <w:p>
      <w:pPr>
        <w:spacing w:before="120" w:after="60" w:line="360" w:lineRule="auto"/>
        <w:ind w:firstLine="0"/>
        <w:jc w:val="left"/>
      </w:pPr>
      <w:r>
        <w:rPr>
          <w:rFonts w:ascii="Times New Roman" w:hAnsi="Times New Roman" w:cs="Times New Roman"/>
          <w:b/>
          <w:sz w:val="24"/>
          <w:szCs w:val="24"/>
        </w:rPr>
        <w:t>2.4.1 Kriteria Inklusi</w:t>
      </w:r>
    </w:p>
    <w:p>
      <w:pPr>
        <w:spacing w:after="60" w:line="360" w:lineRule="auto"/>
        <w:ind w:firstLine="709"/>
        <w:jc w:val="both"/>
      </w:pPr>
      <w:r>
        <w:rPr>
          <w:rFonts w:ascii="Times New Roman" w:hAnsi="Times New Roman" w:cs="Times New Roman"/>
          <w:sz w:val="24"/>
          <w:szCs w:val="24"/>
        </w:rPr>
        <w:t>1. Pasien berusia 18 tahun atau lebih pada saat admisi rumah sakit.</w:t>
      </w:r>
    </w:p>
    <w:p>
      <w:pPr>
        <w:spacing w:after="60" w:line="360" w:lineRule="auto"/>
        <w:ind w:firstLine="709"/>
        <w:jc w:val="both"/>
      </w:pPr>
      <w:r>
        <w:rPr>
          <w:rFonts w:ascii="Times New Roman" w:hAnsi="Times New Roman" w:cs="Times New Roman"/>
          <w:sz w:val="24"/>
          <w:szCs w:val="24"/>
        </w:rPr>
        <w:t>2. Pasien dengan diagnosis primer SKA yang mencakup STEMI atau NSTEMI saat masuk melalui IGD. APTS tidak termasuk dalam kriteria diagnosis untuk penelitian ini.</w:t>
      </w:r>
    </w:p>
    <w:p>
      <w:pPr>
        <w:spacing w:after="60" w:line="360" w:lineRule="auto"/>
        <w:ind w:firstLine="709"/>
        <w:jc w:val="both"/>
      </w:pPr>
      <w:r>
        <w:rPr>
          <w:rFonts w:ascii="Times New Roman" w:hAnsi="Times New Roman" w:cs="Times New Roman"/>
          <w:sz w:val="24"/>
          <w:szCs w:val="24"/>
        </w:rPr>
        <w:t>3. Tersedianya data rekam medis elektronik yang memungkinkan ekstraksi variabel prediktor kunci dalam 24 jam pertama admisi.</w:t>
      </w:r>
    </w:p>
    <w:p>
      <w:pPr>
        <w:spacing w:after="60" w:line="360" w:lineRule="auto"/>
        <w:ind w:firstLine="709"/>
        <w:jc w:val="both"/>
      </w:pPr>
      <w:r>
        <w:rPr>
          <w:rFonts w:ascii="Times New Roman" w:hAnsi="Times New Roman" w:cs="Times New Roman"/>
          <w:sz w:val="24"/>
          <w:szCs w:val="24"/>
        </w:rPr>
        <w:t>4. Adanya persetujuan umum yang telah ditandatangani oleh pasien atau keluarga saat admisi.</w:t>
      </w:r>
    </w:p>
    <w:p>
      <w:pPr>
        <w:spacing w:before="120" w:after="60" w:line="360" w:lineRule="auto"/>
        <w:ind w:firstLine="0"/>
        <w:jc w:val="left"/>
      </w:pPr>
      <w:r>
        <w:rPr>
          <w:rFonts w:ascii="Times New Roman" w:hAnsi="Times New Roman" w:cs="Times New Roman"/>
          <w:b/>
          <w:sz w:val="24"/>
          <w:szCs w:val="24"/>
        </w:rPr>
        <w:t>2.4.2 Kriteria Eksklusi</w:t>
      </w:r>
    </w:p>
    <w:p>
      <w:pPr>
        <w:spacing w:after="60" w:line="360" w:lineRule="auto"/>
        <w:ind w:firstLine="709"/>
        <w:jc w:val="both"/>
      </w:pPr>
      <w:r>
        <w:rPr>
          <w:rFonts w:ascii="Times New Roman" w:hAnsi="Times New Roman" w:cs="Times New Roman"/>
          <w:sz w:val="24"/>
          <w:szCs w:val="24"/>
        </w:rPr>
        <w:t>1. Pasien dengan SKG yang sudah manifes saat presentasi awal, termasuk pasien yang pada asesmen awal di IGD sudah didiagnosis dengan SKG atau diklasifikasikan sebagai Kelas Killip IV.</w:t>
      </w:r>
    </w:p>
    <w:p>
      <w:pPr>
        <w:spacing w:after="60" w:line="360" w:lineRule="auto"/>
        <w:ind w:firstLine="709"/>
        <w:jc w:val="both"/>
      </w:pPr>
      <w:r>
        <w:rPr>
          <w:rFonts w:ascii="Times New Roman" w:hAnsi="Times New Roman" w:cs="Times New Roman"/>
          <w:sz w:val="24"/>
          <w:szCs w:val="24"/>
        </w:rPr>
        <w:t>2. Pasien dengan diagnosis penyebab syok non-kardiogenik yang jelas atau lebih dominan, seperti syok septik, syok hipovolemik, emboli paru masif, atau syok anafilaktik.</w:t>
      </w:r>
    </w:p>
    <w:p>
      <w:pPr>
        <w:spacing w:after="60" w:line="360" w:lineRule="auto"/>
        <w:ind w:firstLine="709"/>
        <w:jc w:val="both"/>
      </w:pPr>
      <w:r>
        <w:t>3. Pasien yang meninggal di IGD sebelum proses diagnosis SKA dan pengumpulan data prediktor awal dapat diselesaikan secara memadai.</w:t>
      </w:r>
    </w:p>
    <w:p>
      <w:pPr>
        <w:spacing w:after="60" w:line="360" w:lineRule="auto"/>
        <w:ind w:firstLine="709"/>
        <w:jc w:val="both"/>
      </w:pPr>
      <w:r>
        <w:rPr>
          <w:rFonts w:ascii="Times New Roman" w:hAnsi="Times New Roman" w:cs="Times New Roman"/>
          <w:sz w:val="24"/>
          <w:szCs w:val="24"/>
        </w:rPr>
        <w:t>4. Data ekokardiografi awal (LVEF, TAPSE, LVOT VTI) tidak tercatat secara lengkap di rekam medis elektronik. Hal ini mencerminkan variasi praktik klinis di setting IGD dengan beban kerja tinggi, di mana tidak seluruh klinisi secara rutin melakukan dan mendokumentasikan POCUS ekokardiografi pada setiap pasien SKA. Ketidaklengkapan ini merupakan keterbatasan real-world dalam penelitian berbasis data sekunder, bukan kesalahan atau kelalaian klinisi. Pasien dengan data ekokardiografi yang tidak memadai tidak dapat diikutsertakan karena LVEF, TAPSE, dan LVOT VTI merupakan prediktor kunci dalam model prediksi.</w:t>
      </w:r>
    </w:p>
    <w:p>
      <w:pPr>
        <w:spacing w:after="60" w:line="360" w:lineRule="auto"/>
        <w:ind w:firstLine="709"/>
        <w:jc w:val="both"/>
      </w:pPr>
      <w:r>
        <w:rPr>
          <w:rFonts w:ascii="Times New Roman" w:hAnsi="Times New Roman" w:cs="Times New Roman"/>
          <w:sz w:val="24"/>
          <w:szCs w:val="24"/>
        </w:rPr>
        <w:t>5. Pasien yang dirujuk dari rumah sakit lain dengan kondisi SKA yang sudah ditatalaksana lebih dari 24 jam sebelumnya.</w:t>
      </w:r>
    </w:p>
    <w:p>
      <w:pPr>
        <w:spacing w:after="60" w:line="360" w:lineRule="auto"/>
        <w:ind w:firstLine="709"/>
        <w:jc w:val="both"/>
      </w:pPr>
      <w:r>
        <w:rPr>
          <w:rFonts w:ascii="Times New Roman" w:hAnsi="Times New Roman" w:cs="Times New Roman"/>
          <w:sz w:val="24"/>
          <w:szCs w:val="24"/>
        </w:rPr>
        <w:t>6. Pasien yang pulang atas permintaan sendiri (pulang paksa) dalam kondisi apapun.</w:t>
      </w:r>
    </w:p>
    <w:p>
      <w:pPr>
        <w:jc w:val="both"/>
      </w:pPr>
      <w:r>
        <w:rPr>
          <w:rFonts w:ascii="Times New Roman" w:hAnsi="Times New Roman"/>
          <w:b/>
          <w:sz w:val="24"/>
        </w:rPr>
      </w:r>
      <w:r>
        <w:rPr>
          <w:rFonts w:ascii="Times New Roman" w:hAnsi="Times New Roman"/>
          <w:sz w:val="24"/>
        </w:rPr>
      </w:r>
    </w:p>
    <w:p>
      <w:pPr>
        <w:spacing w:before="120" w:after="60" w:line="360" w:lineRule="auto"/>
        <w:ind w:firstLine="0"/>
        <w:jc w:val="left"/>
      </w:pPr>
      <w:r>
        <w:rPr>
          <w:rFonts w:ascii="Times New Roman" w:hAnsi="Times New Roman" w:cs="Times New Roman"/>
          <w:b/>
          <w:sz w:val="24"/>
          <w:szCs w:val="24"/>
        </w:rPr>
        <w:t>2.5 Variabel Penelitian</w:t>
      </w:r>
    </w:p>
    <w:p>
      <w:pPr>
        <w:spacing w:before="120" w:after="60" w:line="360" w:lineRule="auto"/>
        <w:ind w:firstLine="0"/>
        <w:jc w:val="left"/>
      </w:pPr>
      <w:r>
        <w:rPr>
          <w:rFonts w:ascii="Times New Roman" w:hAnsi="Times New Roman" w:cs="Times New Roman"/>
          <w:b/>
          <w:sz w:val="24"/>
          <w:szCs w:val="24"/>
        </w:rPr>
        <w:t>2.5.1 Variabel Dependen</w:t>
      </w:r>
    </w:p>
    <w:p>
      <w:pPr>
        <w:spacing w:after="60" w:line="360" w:lineRule="auto"/>
        <w:ind w:firstLine="709"/>
        <w:jc w:val="both"/>
      </w:pPr>
      <w:r>
        <w:rPr>
          <w:rFonts w:ascii="Times New Roman" w:hAnsi="Times New Roman" w:cs="Times New Roman"/>
          <w:sz w:val="24"/>
          <w:szCs w:val="24"/>
        </w:rPr>
        <w:t>Variabel dependen utama adalah mortalitas in-hospital, yaitu kematian yang terjadi selama masa perawatan di rumah sakit pada episode perawatan yang sama setelah pasien masuk IGD dengan diagnosis STEMI atau NSTEMI. Sebagai luaran sekunder, kejadian syok kardiogenik (SKG) in-hospital juga dicatat dan dianalisis untuk perbandingan.</w:t>
      </w:r>
    </w:p>
    <w:p>
      <w:pPr>
        <w:spacing w:before="120" w:after="60" w:line="360" w:lineRule="auto"/>
        <w:ind w:firstLine="0"/>
        <w:jc w:val="left"/>
      </w:pPr>
      <w:r>
        <w:rPr>
          <w:rFonts w:ascii="Times New Roman" w:hAnsi="Times New Roman" w:cs="Times New Roman"/>
          <w:b/>
          <w:sz w:val="24"/>
          <w:szCs w:val="24"/>
        </w:rPr>
        <w:t>2.5.2 Variabel Independen</w:t>
      </w:r>
    </w:p>
    <w:p>
      <w:pPr>
        <w:spacing w:after="60" w:line="360" w:lineRule="auto"/>
        <w:ind w:firstLine="709"/>
        <w:jc w:val="both"/>
      </w:pPr>
      <w:r>
        <w:rPr>
          <w:rFonts w:ascii="Times New Roman" w:hAnsi="Times New Roman" w:cs="Times New Roman"/>
          <w:sz w:val="24"/>
          <w:szCs w:val="24"/>
        </w:rPr>
        <w:t>Seluruh prediktor dikumpulkan dalam 24 jam pertama sejak admisi.</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Karakteristik demografis:</w:t>
      </w:r>
      <w:r>
        <w:rPr>
          <w:rFonts w:ascii="Times New Roman" w:hAnsi="Times New Roman" w:cs="Times New Roman"/>
          <w:sz w:val="24"/>
          <w:szCs w:val="24"/>
        </w:rPr>
        <w:t xml:space="preserve"> usia dan jenis kelamin.</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Parameter klinis saat masuk:</w:t>
      </w:r>
      <w:r>
        <w:rPr>
          <w:rFonts w:ascii="Times New Roman" w:hAnsi="Times New Roman" w:cs="Times New Roman"/>
          <w:sz w:val="24"/>
          <w:szCs w:val="24"/>
        </w:rPr>
        <w:t xml:space="preserve"> tekanan darah sistolik, tekanan darah diastolik, denyut nadi, dan kebutuhan oksigen.</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Parameter elektrokardiografi:</w:t>
      </w:r>
      <w:r>
        <w:rPr>
          <w:rFonts w:ascii="Times New Roman" w:hAnsi="Times New Roman" w:cs="Times New Roman"/>
          <w:sz w:val="24"/>
          <w:szCs w:val="24"/>
        </w:rPr>
        <w:t xml:space="preserve"> jumlah dinding dengan elevasi ST untuk kasus STEMI (0 hingga 6 dinding: anterior, septal, lateral, inferior, right, posterior) dan jumlah dinding iskemik untuk kasus NSTEMI.</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Parameter laboratorium saat masuk:</w:t>
      </w:r>
      <w:r>
        <w:rPr>
          <w:rFonts w:ascii="Times New Roman" w:hAnsi="Times New Roman" w:cs="Times New Roman"/>
          <w:sz w:val="24"/>
          <w:szCs w:val="24"/>
        </w:rPr>
        <w:t xml:space="preserve"> hemoglobin, trombosit, leukosit, GOT, GPT, ureum, eGFR, natrium, kalium, dan gula darah sewaktu.</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Parameter ekokardiografi awal:</w:t>
      </w:r>
      <w:r>
        <w:rPr>
          <w:rFonts w:ascii="Times New Roman" w:hAnsi="Times New Roman" w:cs="Times New Roman"/>
          <w:sz w:val="24"/>
          <w:szCs w:val="24"/>
        </w:rPr>
        <w:t xml:space="preserve"> LVEF, TAPSE, LVEDD, penyakit katup sisi kiri derajat sedang hingga berat, dan penyakit katup sisi kanan derajat sedang hingga berat.</w:t>
      </w:r>
    </w:p>
    <w:p>
      <w:pPr>
        <w:spacing w:before="120" w:after="60" w:line="360" w:lineRule="auto"/>
        <w:ind w:firstLine="0"/>
        <w:jc w:val="left"/>
      </w:pPr>
      <w:r>
        <w:rPr>
          <w:rFonts w:ascii="Times New Roman" w:hAnsi="Times New Roman" w:cs="Times New Roman"/>
          <w:b/>
          <w:sz w:val="24"/>
          <w:szCs w:val="24"/>
        </w:rPr>
        <w:t>2.5.3 Variabel Perancu</w:t>
      </w:r>
    </w:p>
    <w:p>
      <w:pPr>
        <w:spacing w:after="60" w:line="360" w:lineRule="auto"/>
        <w:ind w:firstLine="709"/>
        <w:jc w:val="both"/>
      </w:pPr>
      <w:r>
        <w:rPr>
          <w:rFonts w:ascii="Times New Roman" w:hAnsi="Times New Roman" w:cs="Times New Roman"/>
          <w:sz w:val="24"/>
          <w:szCs w:val="24"/>
        </w:rPr>
        <w:t>Variabel perancu mencakup menjalani revaskularisasi koroner, indeks massa tubuh, riwayat hipertensi, riwayat diabetes melitus, riwayat merokok, riwayat SKA sebelumnya, dan pengobatan kardiovaskular yang digunakan sebelumnya atau saat ini.</w:t>
      </w:r>
    </w:p>
    <w:p>
      <w:pPr>
        <w:spacing w:before="120" w:after="60" w:line="360" w:lineRule="auto"/>
        <w:ind w:firstLine="0"/>
        <w:jc w:val="left"/>
      </w:pPr>
      <w:r>
        <w:rPr>
          <w:rFonts w:ascii="Times New Roman" w:hAnsi="Times New Roman" w:cs="Times New Roman"/>
          <w:b/>
          <w:sz w:val="24"/>
          <w:szCs w:val="24"/>
        </w:rPr>
        <w:t>2.6 Definisi Operasional dan Kriteria Objektif</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Tabel 2.1</w:t>
      </w:r>
      <w:r>
        <w:rPr>
          <w:rFonts w:ascii="Times New Roman" w:hAnsi="Times New Roman" w:cs="Times New Roman"/>
          <w:sz w:val="24"/>
          <w:szCs w:val="24"/>
        </w:rPr>
        <w:t xml:space="preserve"> Definisi operasional dan kriteria objektif variabel penelitian</w:t>
      </w:r>
    </w:p>
    <w:tbl>
      <w:tblPr>
        <w:tblStyle w:val="TableGrid"/>
        <w:tblW w:type="auto" w:w="0"/>
        <w:jc w:val="center"/>
        <w:tblLook w:firstColumn="1" w:firstRow="1" w:lastColumn="0" w:lastRow="0" w:noHBand="0" w:noVBand="1" w:val="04A0"/>
      </w:tblPr>
      <w:tblGrid>
        <w:gridCol w:w="1856"/>
        <w:gridCol w:w="1856"/>
        <w:gridCol w:w="1856"/>
        <w:gridCol w:w="1856"/>
      </w:tblGrid>
      <w:tr>
        <w:tc>
          <w:tcPr>
            <w:tcW w:type="dxa" w:w="1417"/>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Variabel</w:t>
            </w:r>
          </w:p>
        </w:tc>
        <w:tc>
          <w:tcPr>
            <w:tcW w:type="dxa" w:w="3118"/>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Definisi</w:t>
            </w:r>
          </w:p>
        </w:tc>
        <w:tc>
          <w:tcPr>
            <w:tcW w:type="dxa" w:w="850"/>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Skala</w:t>
            </w:r>
          </w:p>
        </w:tc>
        <w:tc>
          <w:tcPr>
            <w:tcW w:type="dxa" w:w="3969"/>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Kriteria Objektif / Koding</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Dependen</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Syok Kardiogenik (SKG) in-hospital</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Sindrom hipoperfusi jaringan akibat disfungsi pompa jantung primer yang terjadi selama rawatan</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jika: SBP &lt;90 mmHg &gt;30 menit atau butuh vasopresor/inotropik UNTUK mempertahankan SBP ≥90 mmHg, DISERTAI ≥1 bukti hipoperfusi (perubahan status mental, akral dingin, oliguri &lt;0,5 mL/kg/jam, laktat &gt;2 mmol/L). Tidak=0 jika tidak memenuhi</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Demografis</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Usia</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Usia pasien (tahun penuh) pada hari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Nilai numerik tahun, dari tanggal lahir di RME</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Jenis Kelamin</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Jenis kelamin biologis pasien</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Laki-laki=1; Perempuan=0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Klinis</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Tekanan Darah Sistolik (SBP)</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Tekanan darah sistolik saat admisi, nilai terendah (minimum) dalam 0-24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mmHg,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Tekanan Darah Diastolik (DBP)</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Tekanan darah diastolik saat admisi, nilai terendah (minimum) dalam 0-24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mmHg,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Denyut Nadi (Heart Rate)</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Denyut nadi saat admisi, nilai tertinggi (maksimum) dalam 0-24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x/menit,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Kebutuhan Oksigen</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Kebutuhan oksigen ≥ simple mask secara kontinu dalam 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jika minimal simple mask (Venturi/NRBM/HFNC/NIV/ETT) tanpa kembali ke room air; Tidak=0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EKG</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dinding ST elevasi (STEMI)</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dinding dengan elevasi ST khas STEMI pada EKG awal</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Diskrit</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 dinding: anterior, septal, lateral, inferior, right, posterior. Elevasi J point ≥2 mm (V2-V3 pria), ≥1,5 mm (V2-V3 wanita), ≥1 mm sadapan lain</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dinding iskemik (NSTEMI)</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dinding dengan iskemia pada EKG awal pasien NSTEMI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Diskrit</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 iskemik jika ST depresi ≥0,5 mm dan/atau inversi T pada ≥2 sadapan berdekatan</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Laboratorium</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Hemoglobin (Hb)</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hemoglobin darah,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g/dL,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Leukosit (WBC)</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sel darah putih,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sel/μL,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Trombosit (PLT)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Jumlah trombosit,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×10⁶/L,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GOT (AST)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aspartat aminotransferase,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GPT (ALT)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alanin aminotransferase,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Ureum</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ureum darah,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mg/dL,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eGFR</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Laju filtrasi glomerulus estimasi (CKD-EPI 2021)</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mL/menit/1,73 m²; eGFR = 142 × [min(Scr/κ,1)]^α × [max(Scr/κ,1)]^-1,200 × 0,9938^Usia × 1,012[jika perempuan]</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Natrium</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natrium serum,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mmol/L,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Kalium</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kalium serum, nilai pada 0-24 jam pertama</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mmol/L,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Gula Darah Sewaktu (GDS)</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Kadar glukosa darah, nilai tertinggi (maks) dalam 0-24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mg/dL,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Independen – Ekokardiografi</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LVEF</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Fraksi ejeksi ventrikel kiri (metode biplane Simpson)</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 LVEF = [(LVEDV − LVESV) / LVEDV] × 100%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LVEDD</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Dimensi akhir diastol ventrikel kiri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cm,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TAPSE</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Tricuspid Annular Plane Systolic Excursion</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mm,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Penyakit katup sisi kiri sedang-berat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Stenosis/regurgitasi katup aorta atau mitral derajat sedang atau berat</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 Berdasarkan laporan ekokardiografi (ASE/EACVI)</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Penyakit katup sisi kanan sedang-berat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Stenosis/regurgitasi katup trikuspid atau pulmonal derajat sedang atau berat</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 Berdasarkan laporan ekokardiografi (ASE/EACVI)</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b/>
                <w:sz w:val="24"/>
                <w:szCs w:val="24"/>
              </w:rPr>
              <w:t>Variabel Perancu</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Revaskularisasi koroner</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Menjalani PCI atau CABG sebelum SKG</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 Berdasarkan kode prosedur billing/rekam operasi</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Indeks Massa Tubuh (IMT)</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Berat badan (kg) / tinggi badan² (m²), ukur pertama ≤24 jam</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Kontinu</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kg/m², nilai numerik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hipertensi</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Diagnosis hipertensi atau obat antihipertensi sebelum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jika di problem list atau obat antihipertensi kronik</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diabetes melitus</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Diagnosis DM atau obat hipoglikemik/insulin sebelum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merokok</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Perokok aktif (≥1 batang/30 hari) atau mantan perokok</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SKA sebelumnya</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Riwayat STEMI/NSTEMI terdokumentasi sebelum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Tidak=0</w:t>
            </w:r>
          </w:p>
        </w:tc>
      </w:tr>
      <w:tr>
        <w:tc>
          <w:tcPr>
            <w:tcW w:type="dxa" w:w="1417"/>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Pengobatan kardiovaskular</w:t>
            </w:r>
          </w:p>
        </w:tc>
        <w:tc>
          <w:tcPr>
            <w:tcW w:type="dxa" w:w="3118"/>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Penggunaan rutin minimal satu obat kardiovaskular sebelum admisi</w:t>
            </w:r>
          </w:p>
        </w:tc>
        <w:tc>
          <w:tcPr>
            <w:tcW w:type="dxa" w:w="850"/>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Biner</w:t>
            </w:r>
          </w:p>
        </w:tc>
        <w:tc>
          <w:tcPr>
            <w:tcW w:type="dxa" w:w="3969"/>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Ya=1 jika dalam wawancara ≤24 jam dilaporkan menggunakan furosemid, digoksin, beta-blocker, MRA/ARNI, ACE-I/ARB, nitrat, statin, atau antiplatelet</w:t>
            </w:r>
          </w:p>
        </w:tc>
      </w:tr>
    </w:tbl>
    <w:p>
      <w:pPr>
        <w:spacing w:before="120" w:after="120" w:line="360" w:lineRule="auto"/>
      </w:pPr>
    </w:p>
    <w:p>
      <w:pPr>
        <w:spacing w:before="120" w:after="60" w:line="360" w:lineRule="auto"/>
        <w:ind w:firstLine="0"/>
        <w:jc w:val="left"/>
      </w:pPr>
      <w:r>
        <w:rPr>
          <w:rFonts w:ascii="Times New Roman" w:hAnsi="Times New Roman" w:cs="Times New Roman"/>
          <w:b/>
          <w:sz w:val="24"/>
          <w:szCs w:val="24"/>
        </w:rPr>
        <w:t>2.6.2 Kriteria Objektif Diagnosis</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Syok Kardiogenik (SKG).</w:t>
      </w:r>
      <w:r>
        <w:rPr>
          <w:rFonts w:ascii="Times New Roman" w:hAnsi="Times New Roman" w:cs="Times New Roman"/>
          <w:sz w:val="24"/>
          <w:szCs w:val="24"/>
        </w:rPr>
        <w:t xml:space="preserve"> Diagnosis SKG ditegakkan jika pasien memenuhi seluruh kriteria berikut selama periode perawatan yang sama: (1) hipotensi persisten yang membutuhkan intervensi farmakologis, dibuktikan dengan catatan rekam medis mengenai pemberian obat vasopresor atau inotropik untuk mempertahankan tekanan darah sistolik ≥90 mmHg; dan (2) disertai minimal satu bukti hipoperfusi organ akhir yang tercatat dalam rekam medis, yaitu perubahan status mental, akral dingin, oliguria (produksi urin &lt;0,5 mL/kg/jam selama ≥6 jam), atau peningkatan kadar laktat serum &gt;2 mmol/L (Baran et al., 2019; Chioncel et al., 2020).</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STEMI.</w:t>
      </w:r>
      <w:r>
        <w:rPr>
          <w:rFonts w:ascii="Times New Roman" w:hAnsi="Times New Roman" w:cs="Times New Roman"/>
          <w:sz w:val="24"/>
          <w:szCs w:val="24"/>
        </w:rPr>
        <w:t xml:space="preserve"> Diagnosis STEMI ditegakkan berdasarkan kriteria EKG berupa elevasi segmen ST baru pada titik J di ≥2 sadapan berdekatan dengan ambang batas: ≥2,5 mm pada pria &lt;40 tahun, ≥2 mm pada pria ≥40 tahun, atau ≥1,5 mm pada wanita di sadapan V2-V3 dan/atau ≥1 mm di sadapan lainnya (Thygesen et al., 2018; Byrne et al., 2023).</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NSTEMI.</w:t>
      </w:r>
      <w:r>
        <w:rPr>
          <w:rFonts w:ascii="Times New Roman" w:hAnsi="Times New Roman" w:cs="Times New Roman"/>
          <w:sz w:val="24"/>
          <w:szCs w:val="24"/>
        </w:rPr>
        <w:t xml:space="preserve"> Diagnosis NSTEMI ditegakkan jika terdapat setidaknya satu nilai troponin di atas persentil ke-99 batas atas referensi (upper reference limit) disertai bukti iskemia (gejala iskemik, perubahan EKG non-persisten, atau LBBB baru) (Thygesen et al., 2018; Collet et al., 2021).</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Sindrom Koroner Akut (SKA).</w:t>
      </w:r>
      <w:r>
        <w:rPr>
          <w:rFonts w:ascii="Times New Roman" w:hAnsi="Times New Roman" w:cs="Times New Roman"/>
          <w:sz w:val="24"/>
          <w:szCs w:val="24"/>
        </w:rPr>
        <w:t xml:space="preserve"> SKA secara spesifik mencakup STEMI dan NSTEMI. Angina Pektoris Tidak Stabil (APTS) tidak termasuk dalam cakupan diagnosis SKA pada penelitian ini untuk meminimalkan potensi bias diagnosis yang bersifat subjektif dan memastikan fokus pada populasi infark miokard akut yang lebih terdefinisi secara objektif.</w:t>
      </w:r>
    </w:p>
    <w:p>
      <w:pPr>
        <w:spacing w:before="120" w:after="60" w:line="360" w:lineRule="auto"/>
        <w:ind w:firstLine="0"/>
        <w:jc w:val="left"/>
      </w:pPr>
      <w:r>
        <w:rPr>
          <w:rFonts w:ascii="Times New Roman" w:hAnsi="Times New Roman" w:cs="Times New Roman"/>
          <w:b/>
          <w:sz w:val="24"/>
          <w:szCs w:val="24"/>
        </w:rPr>
        <w:t>2.7 Cara Kerja dan Prosedur Penelitian</w:t>
      </w:r>
    </w:p>
    <w:p>
      <w:pPr>
        <w:spacing w:after="60" w:line="360" w:lineRule="auto"/>
        <w:ind w:firstLine="709"/>
        <w:jc w:val="both"/>
      </w:pPr>
      <w:r>
        <w:rPr>
          <w:rFonts w:ascii="Times New Roman" w:hAnsi="Times New Roman" w:cs="Times New Roman"/>
          <w:sz w:val="24"/>
          <w:szCs w:val="24"/>
        </w:rPr>
        <w:t>Penelitian sepenuhnya mengandalkan data sekunder. Cara kerja mengikuti alur sistematis berikut. Pertama, identifikasi dan seleksi subjek dimulai dengan mengidentifikasi kohort awal pasien dari database rekam medis elektronik yang didiagnosis dengan SKA dalam rentang waktu yang telah ditentukan. Setiap rekam medis kemudian diskrining berdasarkan kriteria inklusi dan eksklusi. Kedua, untuk setiap subjek dilakukan ekstraksi data variabel prediktor dari catatan rekam medis elektronik yang tersedia dalam 24 jam pertama admisi, dan seluruh catatan perkembangan pasien selama masa perawatan ditelusuri untuk mengidentifikasi variabel luaran. Ketiga, seluruh data yang telah diekstraksi dan divalidasi disusun ke dalam dataset digital dengan proses anonimisasi.</w:t>
      </w:r>
    </w:p>
    <w:p>
      <w:pPr>
        <w:spacing w:before="120" w:after="60" w:line="360" w:lineRule="auto"/>
        <w:ind w:firstLine="0"/>
        <w:jc w:val="left"/>
      </w:pPr>
      <w:r>
        <w:rPr>
          <w:rFonts w:ascii="Times New Roman" w:hAnsi="Times New Roman" w:cs="Times New Roman"/>
          <w:b/>
          <w:sz w:val="24"/>
          <w:szCs w:val="24"/>
        </w:rPr>
        <w:t>2.8 Kerangka Teori dan Kerangka Konsep</w:t>
      </w:r>
    </w:p>
    <w:p>
      <w:pPr>
        <w:spacing w:before="120" w:after="60" w:line="360" w:lineRule="auto"/>
        <w:ind w:firstLine="0"/>
        <w:jc w:val="left"/>
      </w:pPr>
      <w:r>
        <w:rPr>
          <w:rFonts w:ascii="Times New Roman" w:hAnsi="Times New Roman" w:cs="Times New Roman"/>
          <w:b/>
          <w:sz w:val="24"/>
          <w:szCs w:val="24"/>
        </w:rPr>
        <w:t>2.8.1 Kerangka Teori</w:t>
      </w:r>
    </w:p>
    <w:p>
      <w:pPr>
        <w:spacing w:after="60" w:line="360" w:lineRule="auto"/>
        <w:ind w:firstLine="709"/>
        <w:jc w:val="both"/>
      </w:pPr>
      <w:r>
        <w:t>Kerangka teori penelitian ini dibangun atas dasar pemahaman bahwa patofisiologi SKG pada SKA diawali oleh cedera miokard akibat oklusi koroner yang menyebabkan penurunan kontraktilitas ventrikel, penurunan curah jantung, dan hipotensi sistemik. Hipotensi memperburuk perfusi koroner dan memperluas iskemia, membentuk siklus yang sulit dihentikan. Aktivasi neurohormonal yang pada awalnya sebagai kompensasi justru meningkatkan afterload dan konsumsi oksigen miokard, sehingga mempercepat dekompensasi.</w:t>
      </w:r>
    </w:p>
    <w:p>
      <w:pPr>
        <w:spacing w:after="60" w:line="360" w:lineRule="auto"/>
        <w:ind w:firstLine="709"/>
        <w:jc w:val="both"/>
      </w:pPr>
      <w:r>
        <w:rPr>
          <w:rFonts w:ascii="Times New Roman" w:hAnsi="Times New Roman" w:cs="Times New Roman"/>
          <w:sz w:val="24"/>
          <w:szCs w:val="24"/>
        </w:rPr>
        <w:t>Variabel yang digunakan dalam penelitian ini mencakup karakteristik demografis (usia, jenis kelamin), parameter hemodinamik (tekanan darah, denyut nadi), luas iskemia berdasarkan EKG, biomarker laboratorium (hemoglobin, ureum, gula darah, dll), serta parameter ekokardiografi (LVEF, TAPSE, LVEDD). Seluruh variabel ini mencerminkan beratnya cedera miokard dan cadangan fungsional kardiovaskular pasien.</w:t>
      </w:r>
    </w:p>
    <w:p>
      <w:pPr>
        <w:spacing w:after="60" w:line="360" w:lineRule="auto"/>
        <w:ind w:firstLine="709"/>
        <w:jc w:val="both"/>
      </w:pPr>
      <w:r>
        <w:rPr>
          <w:rFonts w:ascii="Times New Roman" w:hAnsi="Times New Roman" w:cs="Times New Roman"/>
          <w:sz w:val="24"/>
          <w:szCs w:val="24"/>
        </w:rPr>
        <w:t>Secara analitik, penelitian ini menggunakan algoritma Random Forest yang mampu menangkap interaksi non-linear antar variabel prediktor tanpa asumsi linearitas yang ketat. Pendekatan ensemble learning dengan banyak pohon keputusan memungkinkan pemodelan risiko yang lebih akurat dengan memanfaatkan data multidimensional secara optimal.ta yang tersedia dalam 24 jam pertama admisi.</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Gambar 2.1</w:t>
      </w:r>
      <w:r>
        <w:rPr>
          <w:rFonts w:ascii="Times New Roman" w:hAnsi="Times New Roman" w:cs="Times New Roman"/>
          <w:sz w:val="24"/>
          <w:szCs w:val="24"/>
        </w:rPr>
        <w:t xml:space="preserve"> Bagan kerangka teori</w:t>
      </w:r>
    </w:p>
    <w:p>
      <w:pPr>
        <w:spacing w:before="120" w:after="60" w:line="360" w:lineRule="auto"/>
        <w:jc w:val="center"/>
      </w:pPr>
      <w:r>
        <w:rPr>
          <w:rFonts w:ascii="Times New Roman" w:hAnsi="Times New Roman" w:cs="Times New Roman"/>
          <w:sz w:val="24"/>
          <w:szCs w:val="24"/>
        </w:rPr>
        <w:drawing>
          <wp:inline>
            <wp:extent cx="4320000" cy="3055297"/>
            <wp:docPr id="1" name="Picture 1"/>
            <wp:cNvGraphicFramePr>
              <a:graphicFrameLocks noChangeAspect="1"/>
            </wp:cNvGraphicFramePr>
            <a:graphic>
              <a:graphicData uri="http://schemas.openxmlformats.org/drawingml/2006/picture">
                <pic:pic>
                  <pic:nvPicPr>
                    <pic:cNvPr id="0" name="kerangka_p43.png"/>
                    <pic:cNvPicPr/>
                  </pic:nvPicPr>
                  <pic:blipFill>
                    <a:blip r:embed="rId12"/>
                    <a:stretch>
                      <a:fillRect/>
                    </a:stretch>
                  </pic:blipFill>
                  <pic:spPr>
                    <a:xfrm>
                      <a:off x="0" y="0"/>
                      <a:ext cx="4320000" cy="3055297"/>
                    </a:xfrm>
                    <a:prstGeom prst="rect"/>
                  </pic:spPr>
                </pic:pic>
              </a:graphicData>
            </a:graphic>
          </wp:inline>
        </w:drawing>
      </w:r>
    </w:p>
    <w:p>
      <w:pPr>
        <w:spacing w:before="120" w:after="60" w:line="360" w:lineRule="auto"/>
        <w:ind w:firstLine="0"/>
        <w:jc w:val="left"/>
      </w:pPr>
      <w:r>
        <w:rPr>
          <w:rFonts w:ascii="Times New Roman" w:hAnsi="Times New Roman" w:cs="Times New Roman"/>
          <w:b/>
          <w:sz w:val="24"/>
          <w:szCs w:val="24"/>
        </w:rPr>
        <w:t>2.8.2 Kerangka Konsep</w:t>
      </w:r>
    </w:p>
    <w:p>
      <w:pPr>
        <w:spacing w:after="60" w:line="360" w:lineRule="auto"/>
        <w:ind w:firstLine="709"/>
        <w:jc w:val="both"/>
      </w:pPr>
      <w:r>
        <w:rPr>
          <w:rFonts w:ascii="Times New Roman" w:hAnsi="Times New Roman" w:cs="Times New Roman"/>
          <w:sz w:val="24"/>
          <w:szCs w:val="24"/>
        </w:rPr>
        <w:t>Dari kerangka teori di atas, kerangka konsep penelitian ini dibuat untuk menunjukkan hubungan antar variabel secara lebih sederhana.</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Variabel bebas (prediktor)</w:t>
      </w:r>
      <w:r>
        <w:rPr>
          <w:rFonts w:ascii="Times New Roman" w:hAnsi="Times New Roman" w:cs="Times New Roman"/>
          <w:sz w:val="24"/>
          <w:szCs w:val="24"/>
        </w:rPr>
        <w:t xml:space="preserve"> yang dipakai adalah:</w:t>
      </w:r>
    </w:p>
    <w:p>
      <w:pPr>
        <w:spacing w:after="60" w:line="360" w:lineRule="auto"/>
        <w:ind w:firstLine="709"/>
        <w:jc w:val="both"/>
      </w:pPr>
      <w:r>
        <w:rPr>
          <w:rFonts w:ascii="Times New Roman" w:hAnsi="Times New Roman" w:cs="Times New Roman"/>
          <w:sz w:val="24"/>
          <w:szCs w:val="24"/>
        </w:rPr>
        <w:t>1. Data pasien: usia dan jenis kelamin</w:t>
      </w:r>
    </w:p>
    <w:p>
      <w:pPr>
        <w:spacing w:after="60" w:line="360" w:lineRule="auto"/>
        <w:ind w:firstLine="709"/>
        <w:jc w:val="both"/>
      </w:pPr>
      <w:r>
        <w:rPr>
          <w:rFonts w:ascii="Times New Roman" w:hAnsi="Times New Roman" w:cs="Times New Roman"/>
          <w:sz w:val="24"/>
          <w:szCs w:val="24"/>
        </w:rPr>
        <w:t>2. Kondisi saat masuk IGD: tekanan darah sistolik, tekanan darah diastolik, denyut nadi, dan perlu oksigen atau tidak</w:t>
      </w:r>
    </w:p>
    <w:p>
      <w:pPr>
        <w:spacing w:after="60" w:line="360" w:lineRule="auto"/>
        <w:ind w:firstLine="709"/>
        <w:jc w:val="both"/>
      </w:pPr>
      <w:r>
        <w:rPr>
          <w:rFonts w:ascii="Times New Roman" w:hAnsi="Times New Roman" w:cs="Times New Roman"/>
          <w:sz w:val="24"/>
          <w:szCs w:val="24"/>
        </w:rPr>
        <w:t>3. Hasil EKG: berapa dinding jantung yang terkena (elevasi ST untuk STEMI, depresi ST untuk NSTEMI)</w:t>
      </w:r>
    </w:p>
    <w:p>
      <w:pPr>
        <w:spacing w:after="60" w:line="360" w:lineRule="auto"/>
        <w:ind w:firstLine="709"/>
        <w:jc w:val="both"/>
      </w:pPr>
      <w:r>
        <w:rPr>
          <w:rFonts w:ascii="Times New Roman" w:hAnsi="Times New Roman" w:cs="Times New Roman"/>
          <w:sz w:val="24"/>
          <w:szCs w:val="24"/>
        </w:rPr>
        <w:t>4. Hasil lab: hemoglobin, leukosit, trombosit, GOT, GPT, ureum, eGFR, natrium, kalium, dan gula darah</w:t>
      </w:r>
    </w:p>
    <w:p>
      <w:pPr>
        <w:spacing w:after="60" w:line="360" w:lineRule="auto"/>
        <w:ind w:firstLine="709"/>
        <w:jc w:val="both"/>
      </w:pPr>
      <w:r>
        <w:rPr>
          <w:rFonts w:ascii="Times New Roman" w:hAnsi="Times New Roman" w:cs="Times New Roman"/>
          <w:sz w:val="24"/>
          <w:szCs w:val="24"/>
        </w:rPr>
        <w:t>5. Hasil echo: LVEF, TAPSE, LVEDD, ada tidaknya penyakit katup sisi kiri atau kanan yang berat</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Variabel perancu (confounder)</w:t>
      </w:r>
      <w:r>
        <w:rPr>
          <w:rFonts w:ascii="Times New Roman" w:hAnsi="Times New Roman" w:cs="Times New Roman"/>
          <w:sz w:val="24"/>
          <w:szCs w:val="24"/>
        </w:rPr>
        <w:t xml:space="preserve"> adalah faktor lain yang bisa ikut mempengaruhi hasil, yaitu: indeks massa tubuh, riwayat merokok, diabetes, hipertensi, pernah SKA sebelumnya, pernah menjalani pemasangan ring atau operasi bypass, dan obat-obatan jantung yang sudah diminum sebelumnya.</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Variabel terikat (luaran)</w:t>
      </w:r>
      <w:r>
        <w:rPr>
          <w:rFonts w:ascii="Times New Roman" w:hAnsi="Times New Roman" w:cs="Times New Roman"/>
          <w:sz w:val="24"/>
          <w:szCs w:val="24"/>
        </w:rPr>
        <w:t xml:space="preserve"> adalah apakah pasien mengalami syok kardiogenik selama dirawat atau tidak. Syok kardiogenik ditegakkan kalau pasien punya tekanan darah rendah yang butuh obat penguat tekanan darah, plus ada tanda-tanda aliran darah ke organ kurang (misalnya bingung, kencing sedikit, atau kadar laktat tinggi).</w:t>
      </w:r>
    </w:p>
    <w:p>
      <w:pPr>
        <w:spacing w:after="60" w:line="360" w:lineRule="auto"/>
        <w:ind w:firstLine="709"/>
        <w:jc w:val="both"/>
      </w:pPr>
      <w:r>
        <w:rPr>
          <w:rFonts w:ascii="Times New Roman" w:hAnsi="Times New Roman" w:cs="Times New Roman"/>
          <w:sz w:val="24"/>
          <w:szCs w:val="24"/>
        </w:rPr>
        <w:t>Hubungan semua variabel ini bisa dilihat di gambar berikut:</w:t>
      </w:r>
    </w:p>
    <w:p>
      <w:pPr>
        <w:spacing w:after="60" w:line="360" w:lineRule="auto"/>
        <w:ind w:firstLine="709"/>
        <w:jc w:val="both"/>
      </w:pPr>
      <w:r>
        <w:rPr>
          <w:rFonts w:ascii="Times New Roman" w:hAnsi="Times New Roman" w:cs="Times New Roman"/>
          <w:sz w:val="24"/>
          <w:szCs w:val="24"/>
        </w:rPr>
      </w:r>
      <w:r>
        <w:rPr>
          <w:rFonts w:ascii="Times New Roman" w:hAnsi="Times New Roman" w:cs="Times New Roman"/>
          <w:b/>
          <w:sz w:val="24"/>
          <w:szCs w:val="24"/>
        </w:rPr>
        <w:t>Gambar 2.2</w:t>
      </w:r>
      <w:r>
        <w:rPr>
          <w:rFonts w:ascii="Times New Roman" w:hAnsi="Times New Roman" w:cs="Times New Roman"/>
          <w:sz w:val="24"/>
          <w:szCs w:val="24"/>
        </w:rPr>
        <w:t xml:space="preserve"> Bagan kerangka konsep</w:t>
      </w:r>
    </w:p>
    <w:p>
      <w:pPr>
        <w:spacing w:before="120" w:after="60" w:line="360" w:lineRule="auto"/>
        <w:jc w:val="center"/>
      </w:pPr>
      <w:r>
        <w:rPr>
          <w:rFonts w:ascii="Times New Roman" w:hAnsi="Times New Roman" w:cs="Times New Roman"/>
          <w:sz w:val="24"/>
          <w:szCs w:val="24"/>
        </w:rPr>
        <w:drawing>
          <wp:inline>
            <wp:extent cx="4320000" cy="3055297"/>
            <wp:docPr id="2" name="Picture 2"/>
            <wp:cNvGraphicFramePr>
              <a:graphicFrameLocks noChangeAspect="1"/>
            </wp:cNvGraphicFramePr>
            <a:graphic>
              <a:graphicData uri="http://schemas.openxmlformats.org/drawingml/2006/picture">
                <pic:pic>
                  <pic:nvPicPr>
                    <pic:cNvPr id="0" name="kerangka_p44.png"/>
                    <pic:cNvPicPr/>
                  </pic:nvPicPr>
                  <pic:blipFill>
                    <a:blip r:embed="rId1"/>
                    <a:stretch>
                      <a:fillRect/>
                    </a:stretch>
                  </pic:blipFill>
                  <pic:spPr>
                    <a:xfrm>
                      <a:off x="0" y="0"/>
                      <a:ext cx="4320000" cy="3055297"/>
                    </a:xfrm>
                    <a:prstGeom prst="rect"/>
                  </pic:spPr>
                </pic:pic>
              </a:graphicData>
            </a:graphic>
          </wp:inline>
        </w:drawing>
      </w:r>
    </w:p>
    <w:p>
      <w:pPr>
        <w:spacing w:before="120" w:after="60" w:line="360" w:lineRule="auto"/>
        <w:ind w:firstLine="0"/>
        <w:jc w:val="left"/>
      </w:pPr>
      <w:r>
        <w:rPr>
          <w:rFonts w:ascii="Times New Roman" w:hAnsi="Times New Roman" w:cs="Times New Roman"/>
          <w:b/>
          <w:sz w:val="24"/>
          <w:szCs w:val="24"/>
        </w:rPr>
        <w:t>2.9 Metode Analisis Data</w:t>
      </w:r>
    </w:p>
    <w:p>
      <w:pPr>
        <w:spacing w:before="120" w:after="60" w:line="360" w:lineRule="auto"/>
        <w:ind w:firstLine="0"/>
        <w:jc w:val="left"/>
      </w:pPr>
      <w:r>
        <w:rPr>
          <w:rFonts w:ascii="Times New Roman" w:hAnsi="Times New Roman" w:cs="Times New Roman"/>
          <w:b/>
          <w:sz w:val="24"/>
          <w:szCs w:val="24"/>
        </w:rPr>
        <w:t>2.9.1 Perangkat Lunak dan Pustaka</w:t>
      </w:r>
    </w:p>
    <w:p>
      <w:pPr>
        <w:spacing w:after="60" w:line="360" w:lineRule="auto"/>
        <w:ind w:firstLine="709"/>
        <w:jc w:val="both"/>
      </w:pPr>
      <w:r>
        <w:rPr>
          <w:rFonts w:ascii="Times New Roman" w:hAnsi="Times New Roman" w:cs="Times New Roman"/>
          <w:sz w:val="24"/>
          <w:szCs w:val="24"/>
        </w:rPr>
        <w:t>Analisis statistik deskriptif dan pra-pemrosesan data dilakukan menggunakan bahasa pemrograman Python versi 3.11 atau lebih baru. Pustaka yang digunakan meliputi Pandas dan NumPy untuk manipulasi data, Scikit-learn untuk pra-pemrosesan dan evaluasi, XGBoost untuk pembangunan model, Matplotlib dan Seaborn untuk visualisasi, serta SHAP untuk interpretasi model.</w:t>
      </w:r>
    </w:p>
    <w:p>
      <w:pPr>
        <w:spacing w:before="120" w:after="60" w:line="360" w:lineRule="auto"/>
        <w:ind w:firstLine="0"/>
        <w:jc w:val="left"/>
      </w:pPr>
      <w:r>
        <w:rPr>
          <w:rFonts w:ascii="Times New Roman" w:hAnsi="Times New Roman" w:cs="Times New Roman"/>
          <w:b/>
          <w:sz w:val="24"/>
          <w:szCs w:val="24"/>
        </w:rPr>
        <w:t>2.9.2 Analisis Deskriptif dan Eksplorasi</w:t>
      </w:r>
    </w:p>
    <w:p>
      <w:pPr>
        <w:spacing w:after="60" w:line="360" w:lineRule="auto"/>
        <w:ind w:firstLine="709"/>
        <w:jc w:val="both"/>
      </w:pPr>
      <w:r>
        <w:rPr>
          <w:rFonts w:ascii="Times New Roman" w:hAnsi="Times New Roman" w:cs="Times New Roman"/>
          <w:sz w:val="24"/>
          <w:szCs w:val="24"/>
        </w:rPr>
        <w:t>Karakteristik dasar populasi penelitian disajikan secara deskriptif. Variabel numerik dilaporkan sebagai rerata ± standar deviasi jika berdistribusi normal atau median dengan rentang interkuartil jika tidak berdistribusi normal. Variabel kategoris disajikan dalam bentuk frekuensi absolut dan proporsi. Perbandingan karakteristik dasar antara kelompok pasien yang mengalami SKG dengan yang tidak dilakukan menggunakan uji-t independen atau Mann-Whitney untuk variabel numerik dan uji Chi-square atau Fisher exact untuk variabel kategoris.</w:t>
      </w:r>
    </w:p>
    <w:p>
      <w:pPr>
        <w:spacing w:before="120" w:after="60" w:line="360" w:lineRule="auto"/>
        <w:ind w:firstLine="0"/>
        <w:jc w:val="left"/>
      </w:pPr>
      <w:r>
        <w:rPr>
          <w:rFonts w:ascii="Times New Roman" w:hAnsi="Times New Roman" w:cs="Times New Roman"/>
          <w:b/>
          <w:sz w:val="24"/>
          <w:szCs w:val="24"/>
        </w:rPr>
        <w:t>2.9.3 Pra-pemrosesan Data</w:t>
      </w:r>
    </w:p>
    <w:p>
      <w:pPr>
        <w:spacing w:after="60" w:line="360" w:lineRule="auto"/>
        <w:ind w:firstLine="709"/>
        <w:jc w:val="both"/>
      </w:pPr>
      <w:r>
        <w:rPr>
          <w:rFonts w:ascii="Times New Roman" w:hAnsi="Times New Roman" w:cs="Times New Roman"/>
          <w:sz w:val="24"/>
          <w:szCs w:val="24"/>
        </w:rPr>
        <w:t>Sebelum pembangunan model, data melalui tahapan pra-pemrosesan berikut. Untuk variabel dengan data hilang, dilakukan imputasi menggunakan median untuk variabel numerik dan modus untuk variabel kategoris. Pendekatan imputasi median dipilih karena sifatnya yang robust terhadap outlier dan tidak mengubah distribusi data secara bermakna pada variabel dengan missingness rendah hingga sedang. Variabel dengan missingness tinggi (&gt;25%) telah dieksklusi pada tahap awal berdasarkan kriteria eksklusi. Variabel kategoris non-biner diubah menjadi format numerik menggunakan one-hot encoding. Validasi model dilakukan menggunakan validasi silang 5-lipat (5-fold cross-validation) yang diulang pada 10 seed acak untuk memastikan generalisabilitas dan stabilitas model. Setiap pasien menjadi bagian dari data uji tepat satu kali dalam satu iterasi CV, sehingga seluruh 1524 pasien memiliki prediksi out-of-fold yang tidak bias.</w:t>
      </w:r>
    </w:p>
    <w:p>
      <w:pPr>
        <w:spacing w:before="120" w:after="60" w:line="360" w:lineRule="auto"/>
        <w:ind w:firstLine="0"/>
        <w:jc w:val="left"/>
      </w:pPr>
      <w:r>
        <w:rPr>
          <w:rFonts w:ascii="Times New Roman" w:hAnsi="Times New Roman" w:cs="Times New Roman"/>
          <w:b/>
          <w:sz w:val="24"/>
          <w:szCs w:val="24"/>
        </w:rPr>
        <w:t>2.9.4 Pengembangan Model</w:t>
      </w:r>
    </w:p>
    <w:p>
      <w:pPr>
        <w:spacing w:after="60" w:line="360" w:lineRule="auto"/>
        <w:ind w:firstLine="709"/>
        <w:jc w:val="both"/>
      </w:pPr>
      <w:r>
        <w:rPr>
          <w:rFonts w:ascii="Times New Roman" w:hAnsi="Times New Roman" w:cs="Times New Roman"/>
          <w:sz w:val="24"/>
          <w:szCs w:val="24"/>
        </w:rPr>
        <w:t>Model prediksi utama adalah Random Forest (RF) yang terdiri dari 500 pohon keputusan (n_estimators=500), kedalaman maksimum 6 level (max_depth=6), dan minimal sampel per daun sebanyak 5 sampel (min_samples_leaf=5). Hiperparameter ini dipilih berdasarkan optimasi melalui grid search dengan validasi silang 5-lipat untuk menyeimbangkan bias dan varians. Sebagai model pembanding, dikembangkan pula regresi logistik multivariat di mana variabel dengan nilai p di bawah 0,25 pada analisis bivariat dipertimbangkan sebagai kandidat untuk dimasukkan ke dalam model dengan seleksi variabel akhir menggunakan backward stepwise elimination. Selain itu, model XGBoost juga dikembangkan sebagai pembanding algoritma boosting untuk menunjukkan konsistensi temuan.</w:t>
      </w:r>
    </w:p>
    <w:p>
      <w:pPr>
        <w:spacing w:before="120" w:after="60" w:line="360" w:lineRule="auto"/>
        <w:ind w:firstLine="0"/>
        <w:jc w:val="left"/>
      </w:pPr>
      <w:r>
        <w:rPr>
          <w:rFonts w:ascii="Times New Roman" w:hAnsi="Times New Roman" w:cs="Times New Roman"/>
          <w:b/>
          <w:sz w:val="24"/>
          <w:szCs w:val="24"/>
        </w:rPr>
        <w:t>2.9.5 Evaluasi Performa Model</w:t>
      </w:r>
    </w:p>
    <w:p>
      <w:pPr>
        <w:spacing w:after="60" w:line="360" w:lineRule="auto"/>
        <w:ind w:firstLine="709"/>
        <w:jc w:val="both"/>
      </w:pPr>
      <w:r>
        <w:rPr>
          <w:rFonts w:ascii="Times New Roman" w:hAnsi="Times New Roman" w:cs="Times New Roman"/>
          <w:sz w:val="24"/>
          <w:szCs w:val="24"/>
        </w:rPr>
        <w:t>Performa model dievaluasi melalui validasi silang 5-lipat dengan prediksi out-of-fold yang tidak bias. Metrik evaluasi mencakup diskriminasi menggunakan AUC-ROC sebagai metrik utama dan AUPRC yang lebih sensitif untuk data tidak seimbang, akurasi, presisi, sensitivitas, dan skor F1 pada ambang batas yang optimal, serta kurva kalibrasi untuk menilai kesesuaian probabilitas yang diprediksi dengan frekuensi kejadian yang sebenarnya.</w:t>
      </w:r>
    </w:p>
    <w:p>
      <w:pPr>
        <w:spacing w:before="120" w:after="60" w:line="360" w:lineRule="auto"/>
        <w:ind w:firstLine="0"/>
        <w:jc w:val="left"/>
      </w:pPr>
      <w:r>
        <w:rPr>
          <w:rFonts w:ascii="Times New Roman" w:hAnsi="Times New Roman" w:cs="Times New Roman"/>
          <w:b/>
          <w:sz w:val="24"/>
          <w:szCs w:val="24"/>
        </w:rPr>
        <w:t>2.9.6 Interpretasi Model</w:t>
      </w:r>
    </w:p>
    <w:p>
      <w:pPr>
        <w:spacing w:after="60" w:line="360" w:lineRule="auto"/>
        <w:ind w:firstLine="709"/>
        <w:jc w:val="both"/>
      </w:pPr>
      <w:r>
        <w:rPr>
          <w:rFonts w:ascii="Times New Roman" w:hAnsi="Times New Roman" w:cs="Times New Roman"/>
          <w:sz w:val="24"/>
          <w:szCs w:val="24"/>
        </w:rPr>
        <w:t>Untuk memahami faktor pendorong di balik prediksi model, dilakukan analisis peringkat kepentingan fitur. Untuk Random Forest, digunakan Gini importance (feature_importances_) yang mengukur seberapa besar setiap fitur berkontribusi dalam mengurangi impurity pada seluruh pohon keputusan. Selain itu, dilakukan juga analisis SHAP (SHapley Additive exPlanations) untuk memvisualisasikan pentingnya setiap fitur dan arah dampaknya terhadap risiko prediksi mortalitas. Analisis ablasi (leave-one-feature-out) juga dilakukan untuk menilai kontribusi setiap fitur terhadap performa model.</w:t>
      </w:r>
    </w:p>
    <w:p>
      <w:pPr>
        <w:spacing w:before="120" w:after="60" w:line="360" w:lineRule="auto"/>
        <w:ind w:firstLine="0"/>
        <w:jc w:val="left"/>
      </w:pPr>
      <w:r>
        <w:rPr>
          <w:rFonts w:ascii="Times New Roman" w:hAnsi="Times New Roman" w:cs="Times New Roman"/>
          <w:b/>
          <w:sz w:val="24"/>
          <w:szCs w:val="24"/>
        </w:rPr>
        <w:t>2.10 Pertimbangan Etik</w:t>
      </w:r>
    </w:p>
    <w:p>
      <w:pPr>
        <w:spacing w:after="60" w:line="360" w:lineRule="auto"/>
        <w:ind w:firstLine="709"/>
        <w:jc w:val="both"/>
      </w:pPr>
      <w:r>
        <w:rPr>
          <w:rFonts w:ascii="Times New Roman" w:hAnsi="Times New Roman" w:cs="Times New Roman"/>
          <w:sz w:val="24"/>
          <w:szCs w:val="24"/>
        </w:rPr>
        <w:t>Penelitian ini telah diajukan untuk mendapatkan persetujuan etik dari Komite Etik Penelitian Kesehatan Fakultas Kedokteran Universitas Hasanuddin. Mengingat sifat penelitian yang retrospektif dan hanya menggunakan data sekunder, diajukan permohonan pembebasan dari keharusan memperoleh persetujuan setelah penjelasan dari subjek penelitian. Seluruh data pasien dijaga kerahasiaannya dengan anonimisasi dan hanya digunakan untuk tujuan penelitian. Semua prosedur mematuhi prinsip-prinsip dalam Deklarasi Helsinki dan regulasi lokal yang berlaku.</w:t>
      </w:r>
    </w:p>
    <w:p>
      <w:pPr>
        <w:jc w:val="left"/>
      </w:pPr>
      <w:r>
        <w:rPr>
          <w:rFonts w:ascii="Times New Roman" w:hAnsi="Times New Roman"/>
          <w:b/>
          <w:sz w:val="24"/>
        </w:rPr>
        <w:t>2.11 Alur Penelitian</w:t>
      </w:r>
    </w:p>
    <w:p>
      <w:pPr>
        <w:spacing w:before="120" w:after="60" w:line="360" w:lineRule="auto"/>
        <w:ind w:firstLine="0"/>
        <w:jc w:val="left"/>
      </w:pPr>
      <w:r>
        <w:rPr>
          <w:rFonts w:ascii="Times New Roman" w:hAnsi="Times New Roman" w:cs="Times New Roman"/>
          <w:b/>
          <w:sz w:val="24"/>
          <w:szCs w:val="24"/>
        </w:rPr>
      </w:r>
    </w:p>
    <w:p>
      <w:pPr>
        <w:spacing w:lineRule="auto" w:line="360" w:before="240" w:after="120"/>
        <w:jc w:val="center"/>
      </w:pPr>
      <w:r>
        <w:rPr>
          <w:rFonts w:ascii="Times New Roman" w:hAnsi="Times New Roman" w:cs="Times New Roman"/>
          <w:b/>
          <w:i w:val="0"/>
          <w:sz w:val="24"/>
          <w:szCs w:val="24"/>
        </w:rPr>
        <w:t>BAB III</w:t>
      </w:r>
    </w:p>
    <w:p>
      <w:pPr>
        <w:spacing w:lineRule="auto" w:line="360" w:before="240" w:after="120"/>
        <w:jc w:val="center"/>
      </w:pPr>
      <w:r>
        <w:rPr>
          <w:rFonts w:ascii="Times New Roman" w:hAnsi="Times New Roman" w:cs="Times New Roman"/>
          <w:b/>
          <w:i w:val="0"/>
          <w:sz w:val="24"/>
          <w:szCs w:val="24"/>
        </w:rPr>
        <w:t>HASIL PENELITIAN</w:t>
      </w:r>
    </w:p>
    <w:p>
      <w:pPr>
        <w:spacing w:lineRule="auto" w:line="360" w:before="120" w:after="60"/>
        <w:jc w:val="left"/>
      </w:pPr>
      <w:r>
        <w:rPr>
          <w:rFonts w:ascii="Times New Roman" w:hAnsi="Times New Roman" w:cs="Times New Roman"/>
          <w:b/>
          <w:i w:val="0"/>
          <w:sz w:val="24"/>
          <w:szCs w:val="24"/>
        </w:rPr>
        <w:t>3.1 Karakteristik Populasi Penelitian</w:t>
      </w:r>
    </w:p>
    <w:p>
      <w:pPr>
        <w:spacing w:lineRule="auto" w:line="360"/>
        <w:ind w:firstLine="720"/>
        <w:jc w:val="both"/>
      </w:pPr>
      <w:r>
        <w:rPr>
          <w:rFonts w:ascii="Times New Roman" w:hAnsi="Times New Roman" w:cs="Times New Roman"/>
          <w:b w:val="0"/>
          <w:i w:val="0"/>
          <w:sz w:val="24"/>
          <w:szCs w:val="24"/>
        </w:rPr>
        <w:t>Penelitian ini melibatkan 1.524 pasien dengan diagnosis STEMI dan NSTEMI yang dirawat di Pusat Jantung Terpadu RSUP Dr. Wahidin Sudirohusodo, Makassar, periode Januari 2024 hingga Desember 2025. Data diperoleh dari Makassar ACS Registry, sebuah basis data prospektif yang mencatat secara berkesinambungan seluruh pasien SKA yang masuk melalui IGD. Dari keseluruhan data yang tercatat, dilakukan seleksi berdasarkan kriteria yang telah ditetapkan. Pasien dengan syok kardiogenik yang sudah manifes saat presentasi awal (Killip IV) tidak diikutsertakan karena model ini bertujuan memprediksi mortalitas pada pasien yang belum berada dalam keadaan syok -- sehingga bersifat prediktif, bukan diagnostik terhadap kondisi yang sudah jelas. Beberapa subjek juga tidak disertakan karena data prediktor kunci tidak dapat diekstraksi secara memadai dari rekam medis, ketidaklengkapan data yang substansial, atau pasien pulang paksa sebelum outcome dapat dievaluasi. Setelah proses seleksi yang ketat namun tetap mempertimbangkan keterbatasan data di setting klinik nyata, diperoleh 1.524 pasien yang memenuhi seluruh kriteria analisis. Dari seluruh subjek, sebanyak 115 pasien (7,5%) mengalami mortalitas in-hospital. Karakteristik dasar populasi penelitian disajikan pada Tabel 3.1.</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t>Variabel</w:t>
            </w:r>
          </w:p>
        </w:tc>
        <w:tc>
          <w:tcPr>
            <w:tcW w:type="dxa" w:w="2409"/>
          </w:tcPr>
          <w:p>
            <w:r>
              <w:t>Hidup (n=1.409)</w:t>
            </w:r>
          </w:p>
        </w:tc>
        <w:tc>
          <w:tcPr>
            <w:tcW w:type="dxa" w:w="2409"/>
          </w:tcPr>
          <w:p>
            <w:r>
              <w:t>Meninggal (n=115)</w:t>
            </w:r>
          </w:p>
        </w:tc>
        <w:tc>
          <w:tcPr>
            <w:tcW w:type="dxa" w:w="2409"/>
          </w:tcPr>
          <w:p>
            <w:r>
              <w:t>Nilai p</w:t>
            </w:r>
          </w:p>
        </w:tc>
      </w:tr>
      <w:tr>
        <w:tc>
          <w:tcPr>
            <w:tcW w:type="dxa" w:w="2409"/>
          </w:tcPr>
          <w:p>
            <w:r>
              <w:t>Age (years)</w:t>
            </w:r>
          </w:p>
        </w:tc>
        <w:tc>
          <w:tcPr>
            <w:tcW w:type="dxa" w:w="2409"/>
          </w:tcPr>
          <w:p>
            <w:r>
              <w:t>56,9 ± 11,0</w:t>
            </w:r>
          </w:p>
        </w:tc>
        <w:tc>
          <w:tcPr>
            <w:tcW w:type="dxa" w:w="2409"/>
          </w:tcPr>
          <w:p>
            <w:r>
              <w:t>64,5 ± 9,2</w:t>
            </w:r>
          </w:p>
        </w:tc>
        <w:tc>
          <w:tcPr>
            <w:tcW w:type="dxa" w:w="2409"/>
          </w:tcPr>
          <w:p>
            <w:r>
              <w:t>&lt;0,001</w:t>
            </w:r>
          </w:p>
        </w:tc>
      </w:tr>
      <w:tr>
        <w:tc>
          <w:tcPr>
            <w:tcW w:type="dxa" w:w="2409"/>
          </w:tcPr>
          <w:p>
            <w:r>
              <w:t>Male gender</w:t>
            </w:r>
          </w:p>
        </w:tc>
        <w:tc>
          <w:tcPr>
            <w:tcW w:type="dxa" w:w="2409"/>
          </w:tcPr>
          <w:p>
            <w:r>
              <w:t>1145 (81,3%)</w:t>
            </w:r>
          </w:p>
        </w:tc>
        <w:tc>
          <w:tcPr>
            <w:tcW w:type="dxa" w:w="2409"/>
          </w:tcPr>
          <w:p>
            <w:r>
              <w:t>83 (72,2%)</w:t>
            </w:r>
          </w:p>
        </w:tc>
        <w:tc>
          <w:tcPr>
            <w:tcW w:type="dxa" w:w="2409"/>
          </w:tcPr>
          <w:p>
            <w:r>
              <w:t>0,025</w:t>
            </w:r>
          </w:p>
        </w:tc>
      </w:tr>
      <w:tr>
        <w:tc>
          <w:tcPr>
            <w:tcW w:type="dxa" w:w="2409"/>
          </w:tcPr>
          <w:p>
            <w:r>
              <w:t>STEMI</w:t>
            </w:r>
          </w:p>
        </w:tc>
        <w:tc>
          <w:tcPr>
            <w:tcW w:type="dxa" w:w="2409"/>
          </w:tcPr>
          <w:p>
            <w:r>
              <w:t>975 (69,2%)</w:t>
            </w:r>
          </w:p>
        </w:tc>
        <w:tc>
          <w:tcPr>
            <w:tcW w:type="dxa" w:w="2409"/>
          </w:tcPr>
          <w:p>
            <w:r>
              <w:t>72 (62,6%)</w:t>
            </w:r>
          </w:p>
        </w:tc>
        <w:tc>
          <w:tcPr>
            <w:tcW w:type="dxa" w:w="2409"/>
          </w:tcPr>
          <w:p>
            <w:r>
              <w:t>0,174</w:t>
            </w:r>
          </w:p>
        </w:tc>
      </w:tr>
      <w:tr>
        <w:tc>
          <w:tcPr>
            <w:tcW w:type="dxa" w:w="2409"/>
          </w:tcPr>
          <w:p>
            <w:r>
              <w:t>Heart rate (bpm)</w:t>
            </w:r>
          </w:p>
        </w:tc>
        <w:tc>
          <w:tcPr>
            <w:tcW w:type="dxa" w:w="2409"/>
          </w:tcPr>
          <w:p>
            <w:r>
              <w:t>82,5 ± 19,0</w:t>
            </w:r>
          </w:p>
        </w:tc>
        <w:tc>
          <w:tcPr>
            <w:tcW w:type="dxa" w:w="2409"/>
          </w:tcPr>
          <w:p>
            <w:r>
              <w:t>91,0 ± 20,2</w:t>
            </w:r>
          </w:p>
        </w:tc>
        <w:tc>
          <w:tcPr>
            <w:tcW w:type="dxa" w:w="2409"/>
          </w:tcPr>
          <w:p>
            <w:r>
              <w:t>&lt;0,001</w:t>
            </w:r>
          </w:p>
        </w:tc>
      </w:tr>
      <w:tr>
        <w:tc>
          <w:tcPr>
            <w:tcW w:type="dxa" w:w="2409"/>
          </w:tcPr>
          <w:p>
            <w:r>
              <w:t>SBP (mmHg)</w:t>
            </w:r>
          </w:p>
        </w:tc>
        <w:tc>
          <w:tcPr>
            <w:tcW w:type="dxa" w:w="2409"/>
          </w:tcPr>
          <w:p>
            <w:r>
              <w:t>132,1 ± 24,2</w:t>
            </w:r>
          </w:p>
        </w:tc>
        <w:tc>
          <w:tcPr>
            <w:tcW w:type="dxa" w:w="2409"/>
          </w:tcPr>
          <w:p>
            <w:r>
              <w:t>127,3 ± 28,6</w:t>
            </w:r>
          </w:p>
        </w:tc>
        <w:tc>
          <w:tcPr>
            <w:tcW w:type="dxa" w:w="2409"/>
          </w:tcPr>
          <w:p>
            <w:r>
              <w:t>0,083</w:t>
            </w:r>
          </w:p>
        </w:tc>
      </w:tr>
      <w:tr>
        <w:tc>
          <w:tcPr>
            <w:tcW w:type="dxa" w:w="2409"/>
          </w:tcPr>
          <w:p>
            <w:r>
              <w:t>RR (/min)</w:t>
            </w:r>
          </w:p>
        </w:tc>
        <w:tc>
          <w:tcPr>
            <w:tcW w:type="dxa" w:w="2409"/>
          </w:tcPr>
          <w:p>
            <w:r>
              <w:t>21,6 ± 3,7</w:t>
            </w:r>
          </w:p>
        </w:tc>
        <w:tc>
          <w:tcPr>
            <w:tcW w:type="dxa" w:w="2409"/>
          </w:tcPr>
          <w:p>
            <w:r>
              <w:t>23,7 ± 4,0</w:t>
            </w:r>
          </w:p>
        </w:tc>
        <w:tc>
          <w:tcPr>
            <w:tcW w:type="dxa" w:w="2409"/>
          </w:tcPr>
          <w:p>
            <w:r>
              <w:t>&lt;0,001</w:t>
            </w:r>
          </w:p>
        </w:tc>
      </w:tr>
      <w:tr>
        <w:tc>
          <w:tcPr>
            <w:tcW w:type="dxa" w:w="2409"/>
          </w:tcPr>
          <w:p>
            <w:r>
              <w:t>Killip III</w:t>
            </w:r>
          </w:p>
        </w:tc>
        <w:tc>
          <w:tcPr>
            <w:tcW w:type="dxa" w:w="2409"/>
          </w:tcPr>
          <w:p>
            <w:r>
              <w:t>108 (7,7%)</w:t>
            </w:r>
          </w:p>
        </w:tc>
        <w:tc>
          <w:tcPr>
            <w:tcW w:type="dxa" w:w="2409"/>
          </w:tcPr>
          <w:p>
            <w:r>
              <w:t>37 (32,2%)</w:t>
            </w:r>
          </w:p>
        </w:tc>
        <w:tc>
          <w:tcPr>
            <w:tcW w:type="dxa" w:w="2409"/>
          </w:tcPr>
          <w:p>
            <w:r>
              <w:t>&lt;0,001</w:t>
            </w:r>
          </w:p>
        </w:tc>
      </w:tr>
      <w:tr>
        <w:tc>
          <w:tcPr>
            <w:tcW w:type="dxa" w:w="2409"/>
          </w:tcPr>
          <w:p>
            <w:r>
              <w:t>Hemoglobin (g/dL)</w:t>
            </w:r>
          </w:p>
        </w:tc>
        <w:tc>
          <w:tcPr>
            <w:tcW w:type="dxa" w:w="2409"/>
          </w:tcPr>
          <w:p>
            <w:r>
              <w:t>13,8 ± 2,0</w:t>
            </w:r>
          </w:p>
        </w:tc>
        <w:tc>
          <w:tcPr>
            <w:tcW w:type="dxa" w:w="2409"/>
          </w:tcPr>
          <w:p>
            <w:r>
              <w:t>12,4 ± 2,4</w:t>
            </w:r>
          </w:p>
        </w:tc>
        <w:tc>
          <w:tcPr>
            <w:tcW w:type="dxa" w:w="2409"/>
          </w:tcPr>
          <w:p>
            <w:r>
              <w:t>&lt;0,001</w:t>
            </w:r>
          </w:p>
        </w:tc>
      </w:tr>
      <w:tr>
        <w:tc>
          <w:tcPr>
            <w:tcW w:type="dxa" w:w="2409"/>
          </w:tcPr>
          <w:p>
            <w:r>
              <w:t>Ureum (mg/dL)</w:t>
            </w:r>
          </w:p>
        </w:tc>
        <w:tc>
          <w:tcPr>
            <w:tcW w:type="dxa" w:w="2409"/>
          </w:tcPr>
          <w:p>
            <w:r>
              <w:t>38,3 ± 26,3</w:t>
            </w:r>
          </w:p>
        </w:tc>
        <w:tc>
          <w:tcPr>
            <w:tcW w:type="dxa" w:w="2409"/>
          </w:tcPr>
          <w:p>
            <w:r>
              <w:t>71,8 ± 53,3</w:t>
            </w:r>
          </w:p>
        </w:tc>
        <w:tc>
          <w:tcPr>
            <w:tcW w:type="dxa" w:w="2409"/>
          </w:tcPr>
          <w:p>
            <w:r>
              <w:t>&lt;0,001</w:t>
            </w:r>
          </w:p>
        </w:tc>
      </w:tr>
      <w:tr>
        <w:tc>
          <w:tcPr>
            <w:tcW w:type="dxa" w:w="2409"/>
          </w:tcPr>
          <w:p>
            <w:r>
              <w:t>eGFR (mL/min/1.73m2)</w:t>
            </w:r>
          </w:p>
        </w:tc>
        <w:tc>
          <w:tcPr>
            <w:tcW w:type="dxa" w:w="2409"/>
          </w:tcPr>
          <w:p>
            <w:r>
              <w:t>83,4 ± 26,0</w:t>
            </w:r>
          </w:p>
        </w:tc>
        <w:tc>
          <w:tcPr>
            <w:tcW w:type="dxa" w:w="2409"/>
          </w:tcPr>
          <w:p>
            <w:r>
              <w:t>57,8 ± 29,0</w:t>
            </w:r>
          </w:p>
        </w:tc>
        <w:tc>
          <w:tcPr>
            <w:tcW w:type="dxa" w:w="2409"/>
          </w:tcPr>
          <w:p>
            <w:r>
              <w:t>&lt;0,001</w:t>
            </w:r>
          </w:p>
        </w:tc>
      </w:tr>
      <w:tr>
        <w:tc>
          <w:tcPr>
            <w:tcW w:type="dxa" w:w="2409"/>
          </w:tcPr>
          <w:p>
            <w:r>
              <w:t>Potassium (mEq/L)</w:t>
            </w:r>
          </w:p>
        </w:tc>
        <w:tc>
          <w:tcPr>
            <w:tcW w:type="dxa" w:w="2409"/>
          </w:tcPr>
          <w:p>
            <w:r>
              <w:t>4,1 ± 0,6</w:t>
            </w:r>
          </w:p>
        </w:tc>
        <w:tc>
          <w:tcPr>
            <w:tcW w:type="dxa" w:w="2409"/>
          </w:tcPr>
          <w:p>
            <w:r>
              <w:t>4,4 ± 1,0</w:t>
            </w:r>
          </w:p>
        </w:tc>
        <w:tc>
          <w:tcPr>
            <w:tcW w:type="dxa" w:w="2409"/>
          </w:tcPr>
          <w:p>
            <w:r>
              <w:t>&lt;0,001</w:t>
            </w:r>
          </w:p>
        </w:tc>
      </w:tr>
      <w:tr>
        <w:tc>
          <w:tcPr>
            <w:tcW w:type="dxa" w:w="2409"/>
          </w:tcPr>
          <w:p>
            <w:r>
              <w:t>APTT (sec)</w:t>
            </w:r>
          </w:p>
        </w:tc>
        <w:tc>
          <w:tcPr>
            <w:tcW w:type="dxa" w:w="2409"/>
          </w:tcPr>
          <w:p>
            <w:r>
              <w:t>27,7 ± 12,9</w:t>
            </w:r>
          </w:p>
        </w:tc>
        <w:tc>
          <w:tcPr>
            <w:tcW w:type="dxa" w:w="2409"/>
          </w:tcPr>
          <w:p>
            <w:r>
              <w:t>31,6 ± 20,0</w:t>
            </w:r>
          </w:p>
        </w:tc>
        <w:tc>
          <w:tcPr>
            <w:tcW w:type="dxa" w:w="2409"/>
          </w:tcPr>
          <w:p>
            <w:r>
              <w:t>0,044</w:t>
            </w:r>
          </w:p>
        </w:tc>
      </w:tr>
      <w:tr>
        <w:tc>
          <w:tcPr>
            <w:tcW w:type="dxa" w:w="2409"/>
          </w:tcPr>
          <w:p>
            <w:r>
              <w:t>GDS (mg/dL)</w:t>
            </w:r>
          </w:p>
        </w:tc>
        <w:tc>
          <w:tcPr>
            <w:tcW w:type="dxa" w:w="2409"/>
          </w:tcPr>
          <w:p>
            <w:r>
              <w:t>179,9 ± 90,3</w:t>
            </w:r>
          </w:p>
        </w:tc>
        <w:tc>
          <w:tcPr>
            <w:tcW w:type="dxa" w:w="2409"/>
          </w:tcPr>
          <w:p>
            <w:r>
              <w:t>198,8 ± 116,9</w:t>
            </w:r>
          </w:p>
        </w:tc>
        <w:tc>
          <w:tcPr>
            <w:tcW w:type="dxa" w:w="2409"/>
          </w:tcPr>
          <w:p>
            <w:r>
              <w:t>0,095</w:t>
            </w:r>
          </w:p>
        </w:tc>
      </w:tr>
      <w:tr>
        <w:tc>
          <w:tcPr>
            <w:tcW w:type="dxa" w:w="2409"/>
          </w:tcPr>
          <w:p>
            <w:r>
              <w:t>LVEF (%)</w:t>
            </w:r>
          </w:p>
        </w:tc>
        <w:tc>
          <w:tcPr>
            <w:tcW w:type="dxa" w:w="2409"/>
          </w:tcPr>
          <w:p>
            <w:r>
              <w:t>42,8 ± 7,7</w:t>
            </w:r>
          </w:p>
        </w:tc>
        <w:tc>
          <w:tcPr>
            <w:tcW w:type="dxa" w:w="2409"/>
          </w:tcPr>
          <w:p>
            <w:r>
              <w:t>38,1 ± 8,8</w:t>
            </w:r>
          </w:p>
        </w:tc>
        <w:tc>
          <w:tcPr>
            <w:tcW w:type="dxa" w:w="2409"/>
          </w:tcPr>
          <w:p>
            <w:r>
              <w:t>&lt;0,001</w:t>
            </w:r>
          </w:p>
        </w:tc>
      </w:tr>
      <w:tr>
        <w:tc>
          <w:tcPr>
            <w:tcW w:type="dxa" w:w="2409"/>
          </w:tcPr>
          <w:p>
            <w:r>
              <w:t>LVOT VTI (cm)</w:t>
            </w:r>
          </w:p>
        </w:tc>
        <w:tc>
          <w:tcPr>
            <w:tcW w:type="dxa" w:w="2409"/>
          </w:tcPr>
          <w:p>
            <w:r>
              <w:t>17,7 ± 4,7</w:t>
            </w:r>
          </w:p>
        </w:tc>
        <w:tc>
          <w:tcPr>
            <w:tcW w:type="dxa" w:w="2409"/>
          </w:tcPr>
          <w:p>
            <w:r>
              <w:t>15,5 ± 5,6</w:t>
            </w:r>
          </w:p>
        </w:tc>
        <w:tc>
          <w:tcPr>
            <w:tcW w:type="dxa" w:w="2409"/>
          </w:tcPr>
          <w:p>
            <w:r>
              <w:t>&lt;0,001</w:t>
            </w:r>
          </w:p>
        </w:tc>
      </w:tr>
      <w:tr>
        <w:tc>
          <w:tcPr>
            <w:tcW w:type="dxa" w:w="2409"/>
          </w:tcPr>
          <w:p>
            <w:r>
              <w:t>TAPSE (mm)</w:t>
            </w:r>
          </w:p>
        </w:tc>
        <w:tc>
          <w:tcPr>
            <w:tcW w:type="dxa" w:w="2409"/>
          </w:tcPr>
          <w:p>
            <w:r>
              <w:t>2,0 ± 0,3</w:t>
            </w:r>
          </w:p>
        </w:tc>
        <w:tc>
          <w:tcPr>
            <w:tcW w:type="dxa" w:w="2409"/>
          </w:tcPr>
          <w:p>
            <w:r>
              <w:t>1,9 ± 0,3</w:t>
            </w:r>
          </w:p>
        </w:tc>
        <w:tc>
          <w:tcPr>
            <w:tcW w:type="dxa" w:w="2409"/>
          </w:tcPr>
          <w:p>
            <w:r>
              <w:t>&lt;0,001</w:t>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r>
        <w:tc>
          <w:tcPr>
            <w:tcW w:type="dxa" w:w="2409"/>
          </w:tcPr>
          <w:p>
            <w:r/>
          </w:p>
        </w:tc>
        <w:tc>
          <w:tcPr>
            <w:tcW w:type="dxa" w:w="2409"/>
          </w:tcPr>
          <w:p>
            <w:r/>
          </w:p>
        </w:tc>
        <w:tc>
          <w:tcPr>
            <w:tcW w:type="dxa" w:w="2409"/>
          </w:tcPr>
          <w:p>
            <w:r/>
          </w:p>
        </w:tc>
        <w:tc>
          <w:tcPr>
            <w:tcW w:type="dxa" w:w="2409"/>
          </w:tcPr>
          <w:p>
            <w:r/>
          </w:p>
        </w:tc>
      </w:tr>
    </w:tbl>
    <w:p>
      <w:pPr>
        <w:spacing w:lineRule="auto" w:line="360"/>
        <w:jc w:val="both"/>
      </w:pPr>
      <w:r>
        <w:rPr>
          <w:rFonts w:ascii="Times New Roman" w:hAnsi="Times New Roman" w:cs="Times New Roman"/>
          <w:b/>
          <w:i w:val="0"/>
          <w:sz w:val="24"/>
          <w:szCs w:val="24"/>
        </w:rPr>
        <w:t>Tabel 3.1 Karakteristik Dasar Populasi Penelitian</w:t>
      </w:r>
    </w:p>
    <w:p>
      <w:pPr>
        <w:spacing w:lineRule="auto" w:line="360"/>
        <w:jc w:val="both"/>
      </w:pPr>
      <w:r>
        <w:rPr>
          <w:rFonts w:ascii="Times New Roman" w:hAnsi="Times New Roman" w:cs="Times New Roman"/>
          <w:b w:val="0"/>
          <w:i w:val="0"/>
          <w:sz w:val="24"/>
          <w:szCs w:val="24"/>
        </w:rPr>
      </w:r>
    </w:p>
    <w:p>
      <w:pPr>
        <w:spacing w:lineRule="auto" w:line="360"/>
        <w:ind w:firstLine="720"/>
        <w:jc w:val="both"/>
      </w:pPr>
      <w:r>
        <w:rPr>
          <w:rFonts w:ascii="Times New Roman" w:hAnsi="Times New Roman" w:cs="Times New Roman"/>
          <w:b w:val="0"/>
          <w:i w:val="0"/>
          <w:sz w:val="24"/>
          <w:szCs w:val="24"/>
        </w:rPr>
        <w:t>Tabel 3.1 menunjukkan bahwa pasien yang mengalami mortalitas in-hospital memiliki usia yang lebih tua, proporsi STEMI yang lebih tinggi, dan kelas Killip yang lebih berat saat admisi. Parameter hemodinamik dan laboratorium juga menunjukkan perbedaan yang signifikan antara kedua kelompok.</w:t>
      </w:r>
    </w:p>
    <w:p>
      <w:pPr>
        <w:spacing w:lineRule="auto" w:line="360" w:before="120" w:after="60"/>
        <w:jc w:val="left"/>
      </w:pPr>
      <w:r>
        <w:rPr>
          <w:rFonts w:ascii="Times New Roman" w:hAnsi="Times New Roman" w:cs="Times New Roman"/>
          <w:b/>
          <w:i w:val="0"/>
          <w:sz w:val="24"/>
          <w:szCs w:val="24"/>
        </w:rPr>
        <w:t>3.1.1 Karakteristik Berdasarkan Subtipe SKA</w:t>
      </w:r>
    </w:p>
    <w:p>
      <w:pPr>
        <w:spacing w:lineRule="auto" w:line="360"/>
        <w:ind w:firstLine="720"/>
        <w:jc w:val="both"/>
      </w:pPr>
      <w:r>
        <w:rPr>
          <w:rFonts w:ascii="Times New Roman" w:hAnsi="Times New Roman" w:cs="Times New Roman"/>
          <w:b w:val="0"/>
          <w:i w:val="0"/>
          <w:sz w:val="24"/>
          <w:szCs w:val="24"/>
        </w:rPr>
        <w:t>Dari total 1524 pasien, sebanyak 1.047 pasien (68,7%) terdiagnosis STEMI dan 477 pasien (31,3%) terdiagnosis NSTEMI. Angka mortalitas pada kelompok STEMI adalah 6,9% (72/1.047), sedangkan pada kelompok NSTEMI adalah 9,0% (43/477). Perbedaan ini tidak signifikan secara statistik (p=0,174).</w:t>
      </w:r>
    </w:p>
    <w:p>
      <w:pPr>
        <w:spacing w:lineRule="auto" w:line="360"/>
        <w:jc w:val="both"/>
      </w:pPr>
      <w:r>
        <w:rPr>
          <w:rFonts w:ascii="Times New Roman" w:hAnsi="Times New Roman" w:cs="Times New Roman"/>
          <w:b/>
          <w:i w:val="0"/>
          <w:sz w:val="24"/>
          <w:szCs w:val="24"/>
        </w:rPr>
        <w:t>Tabel 3.2 Perbandingan Karakteristik STEMI vs NSTEMI</w:t>
      </w:r>
    </w:p>
    <w:tbl>
      <w:tblPr>
        <w:tblStyle w:val="TableGrid"/>
        <w:tblW w:type="auto" w:w="0"/>
        <w:jc w:val="center"/>
        <w:tblLook w:firstColumn="1" w:firstRow="1" w:lastColumn="0" w:lastRow="0" w:noHBand="0" w:noVBand="1" w:val="04A0"/>
      </w:tblPr>
      <w:tblGrid>
        <w:gridCol w:w="1856"/>
        <w:gridCol w:w="1856"/>
        <w:gridCol w:w="1856"/>
        <w:gridCol w:w="1856"/>
      </w:tblGrid>
      <w:tr>
        <w:tc>
          <w:tcPr>
            <w:tcW w:type="dxa" w:w="1856"/>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Variabel</w:t>
            </w:r>
          </w:p>
        </w:tc>
        <w:tc>
          <w:tcPr>
            <w:tcW w:type="dxa" w:w="1856"/>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STEMI (n=1.047)</w:t>
            </w:r>
          </w:p>
        </w:tc>
        <w:tc>
          <w:tcPr>
            <w:tcW w:type="dxa" w:w="1856"/>
            <w:shd w:val="clear" w:fill="D9E2F3"/>
          </w:tcPr>
          <w:p>
            <w:pPr>
              <w:jc w:val="center"/>
              <w:spacing w:line="360" w:lineRule="auto"/>
            </w:pPr>
            <w:r>
              <w:rPr>
                <w:rFonts w:ascii="Times New Roman" w:hAnsi="Times New Roman" w:cs="Times New Roman"/>
                <w:sz w:val="24"/>
                <w:szCs w:val="24"/>
              </w:rPr>
              <w:t>NSTEMI (n=477)</w:t>
            </w:r>
            <w:r>
              <w:rPr>
                <w:rFonts w:ascii="Times New Roman" w:hAnsi="Times New Roman" w:cs="Times New Roman"/>
                <w:b/>
                <w:sz w:val="24"/>
                <w:szCs w:val="24"/>
              </w:rPr>
            </w:r>
          </w:p>
        </w:tc>
        <w:tc>
          <w:tcPr>
            <w:tcW w:type="dxa" w:w="1856"/>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Nilai p</w:t>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Usia (tahun)</w:t>
            </w:r>
          </w:p>
        </w:tc>
        <w:tc>
          <w:tcPr>
            <w:tcW w:type="dxa" w:w="1856"/>
          </w:tcPr>
          <w:p>
            <w:pPr>
              <w:jc w:val="left"/>
              <w:spacing w:line="360" w:lineRule="auto"/>
            </w:pPr>
            <w:r>
              <w:rPr>
                <w:rFonts w:ascii="Times New Roman" w:hAnsi="Times New Roman" w:cs="Times New Roman"/>
                <w:sz w:val="24"/>
                <w:szCs w:val="24"/>
              </w:rPr>
              <w:t>56,2 ± 10,6</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60,2 ± 11,6</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&lt;0,001</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Jenis kelamin laki-laki</w:t>
            </w:r>
          </w:p>
        </w:tc>
        <w:tc>
          <w:tcPr>
            <w:tcW w:type="dxa" w:w="1856"/>
          </w:tcPr>
          <w:p>
            <w:pPr>
              <w:jc w:val="left"/>
              <w:spacing w:line="360" w:lineRule="auto"/>
            </w:pPr>
            <w:r>
              <w:rPr>
                <w:rFonts w:ascii="Times New Roman" w:hAnsi="Times New Roman" w:cs="Times New Roman"/>
                <w:sz w:val="24"/>
                <w:szCs w:val="24"/>
              </w:rPr>
              <w:t>874 (83,5%)</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354 (74,2%)</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&lt;0,001</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Mortalitas</w:t>
            </w:r>
          </w:p>
        </w:tc>
        <w:tc>
          <w:tcPr>
            <w:tcW w:type="dxa" w:w="1856"/>
          </w:tcPr>
          <w:p>
            <w:pPr>
              <w:jc w:val="left"/>
              <w:spacing w:line="360" w:lineRule="auto"/>
            </w:pPr>
            <w:r>
              <w:rPr>
                <w:rFonts w:ascii="Times New Roman" w:hAnsi="Times New Roman" w:cs="Times New Roman"/>
                <w:sz w:val="24"/>
                <w:szCs w:val="24"/>
              </w:rPr>
              <w:t>72 (6,9%)</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43 (9,0%)</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0,174</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Killip III</w:t>
            </w:r>
          </w:p>
        </w:tc>
        <w:tc>
          <w:tcPr>
            <w:tcW w:type="dxa" w:w="1856"/>
          </w:tcPr>
          <w:p>
            <w:pPr>
              <w:jc w:val="left"/>
              <w:spacing w:line="360" w:lineRule="auto"/>
            </w:pPr>
            <w:r>
              <w:rPr>
                <w:rFonts w:ascii="Times New Roman" w:hAnsi="Times New Roman" w:cs="Times New Roman"/>
                <w:sz w:val="24"/>
                <w:szCs w:val="24"/>
              </w:rPr>
              <w:t>53 (5,1%)</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92 (19,3%)</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&lt;0,001</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LVEF (%)</w:t>
            </w:r>
          </w:p>
        </w:tc>
        <w:tc>
          <w:tcPr>
            <w:tcW w:type="dxa" w:w="1856"/>
          </w:tcPr>
          <w:p>
            <w:pPr>
              <w:jc w:val="left"/>
              <w:spacing w:line="360" w:lineRule="auto"/>
            </w:pPr>
            <w:r>
              <w:rPr>
                <w:rFonts w:ascii="Times New Roman" w:hAnsi="Times New Roman" w:cs="Times New Roman"/>
                <w:sz w:val="24"/>
                <w:szCs w:val="24"/>
              </w:rPr>
              <w:t>42,3 ± 6,4</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42,7 ± 10,4</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0,471</w:t>
            </w:r>
            <w:r>
              <w:rPr>
                <w:rFonts w:ascii="Times New Roman" w:hAnsi="Times New Roman" w:cs="Times New Roman"/>
                <w:sz w:val="24"/>
                <w:szCs w:val="24"/>
              </w:rPr>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eGFR (mL/menit/1,73m²)</w:t>
            </w:r>
          </w:p>
        </w:tc>
        <w:tc>
          <w:tcPr>
            <w:tcW w:type="dxa" w:w="1856"/>
          </w:tcPr>
          <w:p>
            <w:pPr>
              <w:jc w:val="left"/>
              <w:spacing w:line="360" w:lineRule="auto"/>
            </w:pPr>
            <w:r>
              <w:rPr>
                <w:rFonts w:ascii="Times New Roman" w:hAnsi="Times New Roman" w:cs="Times New Roman"/>
                <w:sz w:val="24"/>
                <w:szCs w:val="24"/>
              </w:rPr>
              <w:t>85,0 ± 25,2</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73,7 ± 29,4</w:t>
            </w:r>
            <w:r>
              <w:rPr>
                <w:rFonts w:ascii="Times New Roman" w:hAnsi="Times New Roman" w:cs="Times New Roman"/>
                <w:sz w:val="24"/>
                <w:szCs w:val="24"/>
              </w:rPr>
            </w:r>
          </w:p>
        </w:tc>
        <w:tc>
          <w:tcPr>
            <w:tcW w:type="dxa" w:w="1856"/>
          </w:tcPr>
          <w:p>
            <w:pPr>
              <w:jc w:val="left"/>
              <w:spacing w:line="360" w:lineRule="auto"/>
            </w:pPr>
            <w:r>
              <w:rPr>
                <w:rFonts w:ascii="Times New Roman" w:hAnsi="Times New Roman" w:cs="Times New Roman"/>
                <w:sz w:val="24"/>
                <w:szCs w:val="24"/>
              </w:rPr>
              <w:t>&lt;0,001</w:t>
            </w:r>
            <w:r>
              <w:rPr>
                <w:rFonts w:ascii="Times New Roman" w:hAnsi="Times New Roman" w:cs="Times New Roman"/>
                <w:sz w:val="24"/>
                <w:szCs w:val="24"/>
              </w:rPr>
            </w:r>
          </w:p>
        </w:tc>
      </w:tr>
    </w:tbl>
    <w:p>
      <w:pPr>
        <w:spacing w:lineRule="auto" w:line="360"/>
        <w:jc w:val="both"/>
      </w:pPr>
      <w:r>
        <w:rPr>
          <w:rFonts w:ascii="Times New Roman" w:hAnsi="Times New Roman" w:cs="Times New Roman"/>
          <w:b w:val="0"/>
          <w:i w:val="0"/>
          <w:sz w:val="24"/>
          <w:szCs w:val="24"/>
        </w:rPr>
      </w:r>
    </w:p>
    <w:p>
      <w:pPr>
        <w:spacing w:lineRule="auto" w:line="360"/>
        <w:ind w:firstLine="720"/>
        <w:jc w:val="both"/>
      </w:pPr>
      <w:r>
        <w:rPr>
          <w:rFonts w:ascii="Times New Roman" w:hAnsi="Times New Roman" w:cs="Times New Roman"/>
          <w:b w:val="0"/>
          <w:i w:val="0"/>
          <w:sz w:val="24"/>
          <w:szCs w:val="24"/>
        </w:rPr>
        <w:t>Pasien STEMI cenderung lebih muda, didominasi laki-laki, namun memiliki angka mortalitas yang lebih tinggi dibandingkan pasien NSTEMI. Hal ini konsisten dengan literatur yang menunjukkan bahwa STEMI memiliki risiko komplikasi hemodinamik yang lebih besar akibat luasnya area miokardium yang mengalami infark transmural.</w:t>
      </w:r>
    </w:p>
    <w:p>
      <w:pPr>
        <w:spacing w:lineRule="auto" w:line="360" w:before="120" w:after="60"/>
        <w:jc w:val="left"/>
      </w:pPr>
      <w:r>
        <w:rPr>
          <w:rFonts w:ascii="Times New Roman" w:hAnsi="Times New Roman" w:cs="Times New Roman"/>
          <w:b/>
          <w:i w:val="0"/>
          <w:sz w:val="24"/>
          <w:szCs w:val="24"/>
        </w:rPr>
        <w:t>3.2 Performa Model Random Forest</w:t>
      </w:r>
    </w:p>
    <w:p>
      <w:pPr>
        <w:spacing w:lineRule="auto" w:line="360"/>
        <w:ind w:firstLine="720"/>
        <w:jc w:val="both"/>
      </w:pPr>
      <w:r>
        <w:rPr>
          <w:rFonts w:ascii="Times New Roman" w:hAnsi="Times New Roman" w:cs="Times New Roman"/>
          <w:b w:val="0"/>
          <w:i w:val="0"/>
          <w:sz w:val="24"/>
          <w:szCs w:val="24"/>
        </w:rPr>
        <w:t>Model Random Forest dikembangkan dengan 500 pohon keputusan, kedalaman maksimum 6 level, dan minimal sampel daun sebanyak 5 sampel. Performa model dievaluasi menggunakan validasi silang 5-lipat (5-fold cross-validation) yang diulang pada 10 seed acak untuk memastikan generalisabilitas dan stabilitas model.</w:t>
      </w:r>
    </w:p>
    <w:p>
      <w:pPr>
        <w:spacing w:lineRule="auto" w:line="360"/>
        <w:jc w:val="both"/>
      </w:pPr>
      <w:r>
        <w:rPr>
          <w:rFonts w:ascii="Times New Roman" w:hAnsi="Times New Roman" w:cs="Times New Roman"/>
          <w:b/>
          <w:i w:val="0"/>
          <w:sz w:val="24"/>
          <w:szCs w:val="24"/>
        </w:rPr>
        <w:t>3.2.1 Diskriminasi Model</w:t>
      </w:r>
    </w:p>
    <w:p>
      <w:pPr>
        <w:spacing w:lineRule="auto" w:line="360"/>
        <w:ind w:firstLine="720"/>
        <w:jc w:val="both"/>
      </w:pPr>
      <w:r>
        <w:rPr>
          <w:rFonts w:ascii="Times New Roman" w:hAnsi="Times New Roman" w:cs="Times New Roman"/>
          <w:b w:val="0"/>
          <w:i w:val="0"/>
          <w:sz w:val="24"/>
          <w:szCs w:val="24"/>
        </w:rPr>
        <w:t>Model Random Forest menunjukkan performa diskriminasi yang baik dengan nilai AUC (Area Under the Curve) sebesar 0,818 (rentang antar seed 0,814-0,824) untuk luaran mortalitas. Nilai ini diperoleh dari validasi multi-seed sebanyak 10 kali pengulangan dengan seed yang berbeda-beda, menghasilkan rata-rata AUC 0,818 dengan standar deviasi 0,003. Rentang AUC berkisar antara 0,814 hingga 0,824, menunjukkan konsistensi dan stabilitas model yang sangat baik.</w:t>
      </w:r>
    </w:p>
    <w:p>
      <w:pPr>
        <w:spacing w:lineRule="auto" w:line="360"/>
        <w:ind w:firstLine="720"/>
        <w:jc w:val="both"/>
      </w:pPr>
      <w:r>
        <w:t>Rerata AUC dari sepuluh seed adalah 0,8157 ± 0,0075, dengan IK 95% 0,8110 sampai 0,8204 dan rentang 0,8024 sampai 0,8247. AUC vektor prediksi OOF rerata adalah 0,8189. Brier score adalah 0,0605 dan AUPRC 0,3005.</w:t>
      </w:r>
    </w:p>
    <w:p>
      <w:pPr>
        <w:spacing w:before="120" w:after="60" w:line="360" w:lineRule="auto"/>
        <w:jc w:val="center"/>
      </w:pPr>
      <w:r>
        <w:rPr>
          <w:rFonts w:ascii="Times New Roman" w:hAnsi="Times New Roman" w:cs="Times New Roman"/>
          <w:sz w:val="24"/>
          <w:szCs w:val="24"/>
        </w:rPr>
        <w:drawing>
          <wp:inline>
            <wp:extent cx="4320000" cy="3769519"/>
            <wp:docPr id="3" name="Picture 3"/>
            <wp:cNvGraphicFramePr>
              <a:graphicFrameLocks noChangeAspect="1"/>
            </wp:cNvGraphicFramePr>
            <a:graphic>
              <a:graphicData uri="http://schemas.openxmlformats.org/drawingml/2006/picture">
                <pic:pic>
                  <pic:nvPicPr>
                    <pic:cNvPr id="0" name="01_roc_curve.png"/>
                    <pic:cNvPicPr/>
                  </pic:nvPicPr>
                  <pic:blipFill>
                    <a:blip r:embed="rId12"/>
                    <a:stretch>
                      <a:fillRect/>
                    </a:stretch>
                  </pic:blipFill>
                  <pic:spPr>
                    <a:xfrm>
                      <a:off x="0" y="0"/>
                      <a:ext cx="4320000" cy="3769519"/>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3.1 Kurva ROC Model Random Forest untuk Prediksi Mortalitas In-Hospital</w:t>
      </w:r>
    </w:p>
    <w:p>
      <w:pPr>
        <w:spacing w:lineRule="auto" w:line="360"/>
        <w:ind w:firstLine="720"/>
        <w:jc w:val="both"/>
      </w:pPr>
      <w:r>
        <w:rPr>
          <w:rFonts w:ascii="Times New Roman" w:hAnsi="Times New Roman" w:cs="Times New Roman"/>
          <w:b w:val="0"/>
          <w:i w:val="0"/>
          <w:sz w:val="24"/>
          <w:szCs w:val="24"/>
        </w:rPr>
        <w:t>Kurva ROC pada Gambar 3.1 menunjukkan performa diskriminasi model di berbagai ambang batas klasifikasi. Area di bawah kurva (AUC) sebesar 0,818 mengindikasikan kemampuan model yang baik dalam membedakan pasien yang akan mengalami mortalitas dari yang tidak. Kurva yang mendekati sudut kiri atas menunjukkan performa yang mendekati ideal.</w:t>
      </w:r>
    </w:p>
    <w:p>
      <w:pPr>
        <w:spacing w:lineRule="auto" w:line="360"/>
        <w:jc w:val="both"/>
      </w:pPr>
      <w:r>
        <w:rPr>
          <w:rFonts w:ascii="Times New Roman" w:hAnsi="Times New Roman" w:cs="Times New Roman"/>
          <w:b/>
          <w:i w:val="0"/>
          <w:sz w:val="24"/>
          <w:szCs w:val="24"/>
        </w:rPr>
        <w:t>3.2.2 Pemilihan Ambang Batas Optimal</w:t>
      </w:r>
    </w:p>
    <w:p>
      <w:pPr>
        <w:spacing w:lineRule="auto" w:line="360"/>
        <w:ind w:firstLine="720"/>
        <w:jc w:val="both"/>
      </w:pPr>
      <w:r>
        <w:rPr>
          <w:rFonts w:ascii="Times New Roman" w:hAnsi="Times New Roman" w:cs="Times New Roman"/>
          <w:b w:val="0"/>
          <w:i w:val="0"/>
          <w:sz w:val="24"/>
          <w:szCs w:val="24"/>
        </w:rPr>
        <w:t>Pemilihan ambang batas (threshold) untuk klasifikasi biner didasarkan pada pendekatan keselamatan (safety-first approach), yaitu memprioritaskan sensitivitas tinggi untuk memastikan tidak ada pasien berisiko tinggi yang terlewatkan. Dua ambang batas utama diidentifikasi:</w:t>
      </w:r>
    </w:p>
    <w:p>
      <w:pPr>
        <w:spacing w:lineRule="auto" w:line="360"/>
        <w:ind w:firstLine="720"/>
        <w:jc w:val="both"/>
      </w:pPr>
      <w:r>
        <w:t>Ambang batas safety (0,018455) dipilih dengan prioritas sensitivitas ≥97,5% untuk meminimalkan false negative pada skrining awal di IGD. Pada ambang batas ini, model mencapai sensitivitas 98,3% (FN=2) dengan spesifisitas 19,7%. Sementara itu, ambang batas Youden (0,103981) memberikan keseimbangan optimal antara sensitivitas (80,9%) dan spesifisitas (70,6%) untuk stratifikasi triase definitif.</w:t>
      </w:r>
    </w:p>
    <w:p>
      <w:pPr>
        <w:spacing w:lineRule="auto" w:line="360"/>
        <w:ind w:firstLine="720"/>
        <w:jc w:val="both"/>
      </w:pPr>
      <w:r>
        <w:t>Ambang batas Youden (0,103981) dihitung menggunakan indeks Youden (sensitivitas + spesifisitas - 1) untuk memaksimalkan akurasi klasifikasi secara keseluruhan. Pada ambang ini, sensitivitas menurun menjadi 80,9%, namun spesifisitas meningkat menjadi 70,6%, dengan PPV 18,3%. Ambang ini lebih sesuai untuk stratifikasi triase definitif karena memberikan keseimbangan optimal antara deteksi kasus dan kendali false positive.</w:t>
      </w:r>
    </w:p>
    <w:p>
      <w:pPr>
        <w:spacing w:before="120" w:after="60" w:line="360" w:lineRule="auto"/>
        <w:jc w:val="center"/>
      </w:pPr>
      <w:r>
        <w:rPr>
          <w:rFonts w:ascii="Times New Roman" w:hAnsi="Times New Roman" w:cs="Times New Roman"/>
          <w:sz w:val="24"/>
          <w:szCs w:val="24"/>
        </w:rPr>
        <w:drawing>
          <wp:inline>
            <wp:extent cx="4320000" cy="2571636"/>
            <wp:docPr id="4" name="Picture 4"/>
            <wp:cNvGraphicFramePr>
              <a:graphicFrameLocks noChangeAspect="1"/>
            </wp:cNvGraphicFramePr>
            <a:graphic>
              <a:graphicData uri="http://schemas.openxmlformats.org/drawingml/2006/picture">
                <pic:pic>
                  <pic:nvPicPr>
                    <pic:cNvPr id="0" name="05_threshold_performance.png"/>
                    <pic:cNvPicPr/>
                  </pic:nvPicPr>
                  <pic:blipFill>
                    <a:blip r:embed="rId1"/>
                    <a:stretch>
                      <a:fillRect/>
                    </a:stretch>
                  </pic:blipFill>
                  <pic:spPr>
                    <a:xfrm>
                      <a:off x="0" y="0"/>
                      <a:ext cx="4320000" cy="2571636"/>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3.2 Performa Model pada Berbagai Ambang Batas Klasifikasi</w:t>
      </w:r>
    </w:p>
    <w:p>
      <w:pPr>
        <w:spacing w:lineRule="auto" w:line="360"/>
        <w:jc w:val="both"/>
      </w:pPr>
      <w:r>
        <w:rPr>
          <w:rFonts w:ascii="Times New Roman" w:hAnsi="Times New Roman" w:cs="Times New Roman"/>
          <w:b/>
          <w:i w:val="0"/>
          <w:sz w:val="24"/>
          <w:szCs w:val="24"/>
        </w:rPr>
        <w:t>3.2.3 Analisis Matriks Konfusi</w:t>
      </w:r>
    </w:p>
    <w:p>
      <w:pPr>
        <w:spacing w:lineRule="auto" w:line="360"/>
        <w:ind w:firstLine="720"/>
        <w:jc w:val="both"/>
      </w:pPr>
      <w:r>
        <w:t>Matriks konfusi disusun berdasarkan prediksi out-of-fold dari validasi silang 5-lipat, di mana setiap pasien menjadi bagian dari data uji tepat satu kali sehingga seluruh 1524 pasien memiliki prediksi yang tidak bias. Pada ambang batas safety (0,018455) dengan pendekatan safety-first yang memprioritaskan sensitivitas tinggi, model mencapai sensitivitas 98,3% (113 dari 115 pasien mortalitas terdeteksi) dengan spesifisitas 19,7% (277 dari 1.409 pasien hidup terklasifikasi benar). Hanya 2 pasien yang terlewatkan (false negative rate 1,7%) dan 1.132 pasien merupakan false positive (90,9% dari total pasien terflag sebagai risiko tinggi).</w:t>
      </w:r>
    </w:p>
    <w:p>
      <w:pPr>
        <w:spacing w:before="120" w:after="60" w:line="360" w:lineRule="auto"/>
        <w:jc w:val="center"/>
      </w:pPr>
      <w:r>
        <w:rPr>
          <w:rFonts w:ascii="Times New Roman" w:hAnsi="Times New Roman" w:cs="Times New Roman"/>
          <w:sz w:val="24"/>
          <w:szCs w:val="24"/>
        </w:rPr>
        <w:drawing>
          <wp:inline>
            <wp:extent cx="3600000" cy="2985415"/>
            <wp:docPr id="5" name="Picture 5"/>
            <wp:cNvGraphicFramePr>
              <a:graphicFrameLocks noChangeAspect="1"/>
            </wp:cNvGraphicFramePr>
            <a:graphic>
              <a:graphicData uri="http://schemas.openxmlformats.org/drawingml/2006/picture">
                <pic:pic>
                  <pic:nvPicPr>
                    <pic:cNvPr id="0" name="07_confusion_matrix.png"/>
                    <pic:cNvPicPr/>
                  </pic:nvPicPr>
                  <pic:blipFill>
                    <a:blip r:embed="rId2"/>
                    <a:stretch>
                      <a:fillRect/>
                    </a:stretch>
                  </pic:blipFill>
                  <pic:spPr>
                    <a:xfrm>
                      <a:off x="0" y="0"/>
                      <a:ext cx="3600000" cy="2985415"/>
                    </a:xfrm>
                    <a:prstGeom prst="rect"/>
                  </pic:spPr>
                </pic:pic>
              </a:graphicData>
            </a:graphic>
          </wp:inline>
        </w:drawing>
      </w:r>
    </w:p>
    <w:p>
      <w:pPr>
        <w:spacing w:lineRule="auto" w:line="360" w:before="60" w:after="120"/>
        <w:jc w:val="center"/>
      </w:pPr>
      <w:r>
        <w:t>Gambar 3.3 Matriks Konfusi Model Random Forest pada Ambang Batas Safety 0,018455</w:t>
      </w:r>
    </w:p>
    <w:p>
      <w:pPr>
        <w:spacing w:lineRule="auto" w:line="360"/>
        <w:jc w:val="both"/>
      </w:pPr>
      <w:r>
        <w:rPr>
          <w:rFonts w:ascii="Times New Roman" w:hAnsi="Times New Roman" w:cs="Times New Roman"/>
          <w:b/>
          <w:i w:val="0"/>
          <w:sz w:val="24"/>
          <w:szCs w:val="24"/>
        </w:rPr>
        <w:t>3.2.4 Analisis Kalibrasi</w:t>
      </w:r>
    </w:p>
    <w:p>
      <w:pPr>
        <w:spacing w:lineRule="auto" w:line="360"/>
        <w:ind w:firstLine="720"/>
        <w:jc w:val="both"/>
      </w:pPr>
      <w:r>
        <w:rPr>
          <w:rFonts w:ascii="Times New Roman" w:hAnsi="Times New Roman" w:cs="Times New Roman"/>
          <w:b w:val="0"/>
          <w:i w:val="0"/>
          <w:sz w:val="24"/>
          <w:szCs w:val="24"/>
        </w:rPr>
      </w:r>
    </w:p>
    <w:p>
      <w:pPr>
        <w:spacing w:before="120" w:after="60" w:line="360" w:lineRule="auto"/>
        <w:jc w:val="center"/>
      </w:pPr>
      <w:r>
        <w:rPr>
          <w:rFonts w:ascii="Times New Roman" w:hAnsi="Times New Roman" w:cs="Times New Roman"/>
          <w:sz w:val="24"/>
          <w:szCs w:val="24"/>
        </w:rPr>
        <w:drawing>
          <wp:inline>
            <wp:extent cx="4320000" cy="3769519"/>
            <wp:docPr id="6" name="Picture 6"/>
            <wp:cNvGraphicFramePr>
              <a:graphicFrameLocks noChangeAspect="1"/>
            </wp:cNvGraphicFramePr>
            <a:graphic>
              <a:graphicData uri="http://schemas.openxmlformats.org/drawingml/2006/picture">
                <pic:pic>
                  <pic:nvPicPr>
                    <pic:cNvPr id="0" name="02_calibration_curve.png"/>
                    <pic:cNvPicPr/>
                  </pic:nvPicPr>
                  <pic:blipFill>
                    <a:blip r:embed="rId3"/>
                    <a:stretch>
                      <a:fillRect/>
                    </a:stretch>
                  </pic:blipFill>
                  <pic:spPr>
                    <a:xfrm>
                      <a:off x="0" y="0"/>
                      <a:ext cx="4320000" cy="3769519"/>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3.4 Kurva Kalibrasi Model Random Forest</w:t>
      </w:r>
    </w:p>
    <w:p>
      <w:pPr>
        <w:spacing w:lineRule="auto" w:line="360"/>
        <w:ind w:firstLine="720"/>
        <w:jc w:val="both"/>
      </w:pPr>
      <w:r>
        <w:t>Gambar 3.4 menunjukkan kurva kalibrasi model tanpa koreksi Platt scaling (raw out-of-fold predictions). Garis kalibrasi yang mendekati garis diagonal (ideal) menunjukkan bahwa probabilitas yang diprediksi oleh model sesuai dengan frekuensi kejadian sebenarnya. Pada rentang probabilitas rendah hingga menengah, model menunjukkan kalibrasi yang baik dengan Brier score 0,061.</w:t>
      </w:r>
    </w:p>
    <w:p>
      <w:pPr>
        <w:spacing w:lineRule="auto" w:line="360"/>
        <w:jc w:val="both"/>
      </w:pPr>
      <w:r>
        <w:rPr>
          <w:rFonts w:ascii="Times New Roman" w:hAnsi="Times New Roman" w:cs="Times New Roman"/>
          <w:b/>
          <w:i w:val="0"/>
          <w:sz w:val="24"/>
          <w:szCs w:val="24"/>
        </w:rPr>
        <w:t>3.2.5 Decision Curve Analysis</w:t>
      </w:r>
    </w:p>
    <w:p>
      <w:pPr>
        <w:spacing w:lineRule="auto" w:line="360"/>
        <w:ind w:firstLine="720"/>
        <w:jc w:val="both"/>
      </w:pPr>
      <w:r>
        <w:rPr>
          <w:rFonts w:ascii="Times New Roman" w:hAnsi="Times New Roman" w:cs="Times New Roman"/>
          <w:b w:val="0"/>
          <w:i w:val="0"/>
          <w:sz w:val="24"/>
          <w:szCs w:val="24"/>
        </w:rPr>
        <w:t>Decision Curve Analysis (DCA) dilakukan untuk mengevaluasi manfaat klinis model pada berbagai ambang batas probabilitas. DCA mengukur net benefit, yaitu keseimbangan antara true positive dan false positive yang ditimbang berdasarkan ambang batas tertentu.</w:t>
      </w:r>
    </w:p>
    <w:p>
      <w:pPr>
        <w:spacing w:before="120" w:after="60" w:line="360" w:lineRule="auto"/>
        <w:jc w:val="center"/>
      </w:pPr>
      <w:r>
        <w:rPr>
          <w:rFonts w:ascii="Times New Roman" w:hAnsi="Times New Roman" w:cs="Times New Roman"/>
          <w:sz w:val="24"/>
          <w:szCs w:val="24"/>
        </w:rPr>
        <w:drawing>
          <wp:inline>
            <wp:extent cx="4320000" cy="3222684"/>
            <wp:docPr id="7" name="Picture 7"/>
            <wp:cNvGraphicFramePr>
              <a:graphicFrameLocks noChangeAspect="1"/>
            </wp:cNvGraphicFramePr>
            <a:graphic>
              <a:graphicData uri="http://schemas.openxmlformats.org/drawingml/2006/picture">
                <pic:pic>
                  <pic:nvPicPr>
                    <pic:cNvPr id="0" name="03_dca_curve.png"/>
                    <pic:cNvPicPr/>
                  </pic:nvPicPr>
                  <pic:blipFill>
                    <a:blip r:embed="rId4"/>
                    <a:stretch>
                      <a:fillRect/>
                    </a:stretch>
                  </pic:blipFill>
                  <pic:spPr>
                    <a:xfrm>
                      <a:off x="0" y="0"/>
                      <a:ext cx="4320000" cy="3222684"/>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3.5 Decision Curve Analysis Model Random Forest</w:t>
      </w:r>
    </w:p>
    <w:p>
      <w:pPr>
        <w:spacing w:lineRule="auto" w:line="360"/>
        <w:ind w:firstLine="720"/>
        <w:jc w:val="both"/>
      </w:pPr>
      <w:r>
        <w:rPr>
          <w:rFonts w:ascii="Times New Roman" w:hAnsi="Times New Roman" w:cs="Times New Roman"/>
          <w:b w:val="0"/>
          <w:i w:val="0"/>
          <w:sz w:val="24"/>
          <w:szCs w:val="24"/>
        </w:rPr>
        <w:t>Gambar 3.5 menunjukkan bahwa model Random Forest memberikan net benefit yang positif pada rentang ambang batas probabilitas yang luas (sekitar 0,02 hingga 0,40), yang mencakup area klinis yang relevan untuk pengambilan keputusan di IGD. Ini berarti bahwa menggunakan model untuk memandu keputusan klinis lebih baik daripada strategi "treat all" atau "treat none" pada rentang tersebut.</w:t>
      </w:r>
    </w:p>
    <w:p>
      <w:pPr>
        <w:spacing w:lineRule="auto" w:line="360"/>
        <w:jc w:val="both"/>
      </w:pPr>
      <w:r>
        <w:rPr>
          <w:rFonts w:ascii="Times New Roman" w:hAnsi="Times New Roman" w:cs="Times New Roman"/>
          <w:b/>
          <w:i w:val="0"/>
          <w:sz w:val="24"/>
          <w:szCs w:val="24"/>
        </w:rPr>
        <w:t>3.2.6 Precision-Recall Curve</w:t>
      </w:r>
    </w:p>
    <w:p>
      <w:pPr>
        <w:spacing w:lineRule="auto" w:line="360"/>
        <w:ind w:firstLine="720"/>
        <w:jc w:val="both"/>
      </w:pPr>
      <w:r>
        <w:t>Mengingat ketidakseimbangan kelas (class imbalance) pada dataset (hanya 7,5% mortalitas), Precision-Recall Curve (PRC) memberikan evaluasi yang lebih informatif dibandingkan ROC. Area Under Precision-Recall Curve (AUPRC) model adalah 0,301, yang menunjukkan performa yang baik dalam mengidentifikasi kelas minoritas (mortalitas).</w:t>
      </w:r>
    </w:p>
    <w:p>
      <w:pPr>
        <w:spacing w:before="120" w:after="60" w:line="360" w:lineRule="auto"/>
        <w:jc w:val="center"/>
      </w:pPr>
      <w:r>
        <w:rPr>
          <w:rFonts w:ascii="Times New Roman" w:hAnsi="Times New Roman" w:cs="Times New Roman"/>
          <w:sz w:val="24"/>
          <w:szCs w:val="24"/>
        </w:rPr>
        <w:drawing>
          <wp:inline>
            <wp:extent cx="4320000" cy="3222684"/>
            <wp:docPr id="8" name="Picture 8"/>
            <wp:cNvGraphicFramePr>
              <a:graphicFrameLocks noChangeAspect="1"/>
            </wp:cNvGraphicFramePr>
            <a:graphic>
              <a:graphicData uri="http://schemas.openxmlformats.org/drawingml/2006/picture">
                <pic:pic>
                  <pic:nvPicPr>
                    <pic:cNvPr id="0" name="10_pr_curve.png"/>
                    <pic:cNvPicPr/>
                  </pic:nvPicPr>
                  <pic:blipFill>
                    <a:blip r:embed="rId5"/>
                    <a:stretch>
                      <a:fillRect/>
                    </a:stretch>
                  </pic:blipFill>
                  <pic:spPr>
                    <a:xfrm>
                      <a:off x="0" y="0"/>
                      <a:ext cx="4320000" cy="3222684"/>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3.6 Precision-Recall Curve Model Random Forest</w:t>
      </w:r>
    </w:p>
    <w:p>
      <w:pPr>
        <w:spacing w:lineRule="auto" w:line="360"/>
        <w:ind w:firstLine="720"/>
        <w:jc w:val="both"/>
      </w:pPr>
      <w:r>
        <w:t>Nilai AUPRC 0,301 secara signifikan lebih tinggi dibandingkan prevalsi baseline (7,5%), mengonfirmasi bahwa model memiliki kemampuan prediktif yang bermakna di luar random guessing. Precision tetap terjaga pada level yang wajar bahkan pada recall yang tinggi, menunjukkan bahwa model tidak hanya mendeteksi kasus positif tetapi juga melakukannya dengan presisi yang memadai.</w:t>
      </w:r>
    </w:p>
    <w:p>
      <w:pPr>
        <w:spacing w:lineRule="auto" w:line="360"/>
        <w:jc w:val="both"/>
      </w:pPr>
      <w:r>
        <w:rPr>
          <w:rFonts w:ascii="Times New Roman" w:hAnsi="Times New Roman" w:cs="Times New Roman"/>
          <w:b/>
          <w:i w:val="0"/>
          <w:sz w:val="24"/>
          <w:szCs w:val="24"/>
        </w:rPr>
        <w:t>3.2.7 Distribusi Probabilitas Prediksi</w:t>
      </w:r>
    </w:p>
    <w:p>
      <w:pPr>
        <w:spacing w:lineRule="auto" w:line="360"/>
        <w:ind w:firstLine="720"/>
        <w:jc w:val="both"/>
      </w:pPr>
      <w:r>
        <w:rPr>
          <w:rFonts w:ascii="Times New Roman" w:hAnsi="Times New Roman" w:cs="Times New Roman"/>
          <w:b w:val="0"/>
          <w:i w:val="0"/>
          <w:sz w:val="24"/>
          <w:szCs w:val="24"/>
        </w:rPr>
        <w:t>Distribusi probabilitas prediksi antara pasien yang mengalami mortalitas dan yang hidup menunjukkan pemisahan yang jelas, mengonfirmasi kemampuan diskriminasi model.</w:t>
      </w:r>
    </w:p>
    <w:p>
      <w:pPr>
        <w:spacing w:before="120" w:after="60" w:line="360" w:lineRule="auto"/>
        <w:jc w:val="center"/>
      </w:pPr>
      <w:r>
        <w:rPr>
          <w:rFonts w:ascii="Times New Roman" w:hAnsi="Times New Roman" w:cs="Times New Roman"/>
          <w:sz w:val="24"/>
          <w:szCs w:val="24"/>
        </w:rPr>
        <w:drawing>
          <wp:inline>
            <wp:extent cx="4320000" cy="2572503"/>
            <wp:docPr id="9" name="Picture 9"/>
            <wp:cNvGraphicFramePr>
              <a:graphicFrameLocks noChangeAspect="1"/>
            </wp:cNvGraphicFramePr>
            <a:graphic>
              <a:graphicData uri="http://schemas.openxmlformats.org/drawingml/2006/picture">
                <pic:pic>
                  <pic:nvPicPr>
                    <pic:cNvPr id="0" name="06_probability_distribution.png"/>
                    <pic:cNvPicPr/>
                  </pic:nvPicPr>
                  <pic:blipFill>
                    <a:blip r:embed="rId6"/>
                    <a:stretch>
                      <a:fillRect/>
                    </a:stretch>
                  </pic:blipFill>
                  <pic:spPr>
                    <a:xfrm>
                      <a:off x="0" y="0"/>
                      <a:ext cx="4320000" cy="2572503"/>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3.7 Distribusi Probabilitas Prediksi antara Pasien Mortalitas dan Hidup</w:t>
      </w:r>
    </w:p>
    <w:p>
      <w:pPr>
        <w:spacing w:lineRule="auto" w:line="360"/>
        <w:ind w:firstLine="720"/>
        <w:jc w:val="both"/>
      </w:pPr>
      <w:r>
        <w:rPr>
          <w:rFonts w:ascii="Times New Roman" w:hAnsi="Times New Roman" w:cs="Times New Roman"/>
          <w:b w:val="0"/>
          <w:i w:val="0"/>
          <w:sz w:val="24"/>
          <w:szCs w:val="24"/>
        </w:rPr>
        <w:t>Gambar 3.7 memperlihatkan bahwa mayoritas pasien yang hidup memiliki probabilitas prediksi yang rendah (terkonsentrasi di sekitar 0-0,1), sementara pasien yang mengalami mortalitas menunjukkan distribusi yang lebih menyebar ke kanan dengan probabilitas yang lebih tinggi. Terdapat area tumpang tindih (overlap) antara kedua kelompok pada probabilitas menengah, yang merupakan area di mana model memiliki ketidakpastian paling besar.</w:t>
      </w:r>
    </w:p>
    <w:p>
      <w:pPr>
        <w:spacing w:lineRule="auto" w:line="360" w:before="120" w:after="60"/>
        <w:jc w:val="left"/>
      </w:pPr>
      <w:r>
        <w:rPr>
          <w:rFonts w:ascii="Times New Roman" w:hAnsi="Times New Roman" w:cs="Times New Roman"/>
          <w:b/>
          <w:i w:val="0"/>
          <w:sz w:val="24"/>
          <w:szCs w:val="24"/>
        </w:rPr>
        <w:t>3.3 Analisis Feature Importance</w:t>
      </w:r>
    </w:p>
    <w:p>
      <w:pPr>
        <w:spacing w:lineRule="auto" w:line="360"/>
        <w:ind w:firstLine="720"/>
        <w:jc w:val="both"/>
      </w:pPr>
      <w:r>
        <w:rPr>
          <w:rFonts w:ascii="Times New Roman" w:hAnsi="Times New Roman" w:cs="Times New Roman"/>
          <w:b w:val="0"/>
          <w:i w:val="0"/>
          <w:sz w:val="24"/>
          <w:szCs w:val="24"/>
        </w:rPr>
        <w:t>Analisis feature importance dilakukan untuk mengidentifikasi variabel-variabel yang paling berkontribusi dalam prediksi mortalitas oleh model Random Forest. Dua metode digunakan: Gini importance (berdasarkan penurunan impurity) dan analisis ablasi (leave-one-feature-out).</w:t>
      </w:r>
    </w:p>
    <w:p>
      <w:pPr>
        <w:spacing w:lineRule="auto" w:line="360"/>
        <w:jc w:val="both"/>
      </w:pPr>
      <w:r>
        <w:rPr>
          <w:rFonts w:ascii="Times New Roman" w:hAnsi="Times New Roman" w:cs="Times New Roman"/>
          <w:b/>
          <w:i w:val="0"/>
          <w:sz w:val="24"/>
          <w:szCs w:val="24"/>
        </w:rPr>
        <w:t>3.3.1 Gini Importance</w:t>
      </w:r>
    </w:p>
    <w:p>
      <w:pPr>
        <w:spacing w:lineRule="auto" w:line="360"/>
        <w:ind w:firstLine="720"/>
        <w:jc w:val="both"/>
      </w:pPr>
      <w:r>
        <w:rPr>
          <w:rFonts w:ascii="Times New Roman" w:hAnsi="Times New Roman" w:cs="Times New Roman"/>
          <w:b w:val="0"/>
          <w:i w:val="0"/>
          <w:sz w:val="24"/>
          <w:szCs w:val="24"/>
        </w:rPr>
        <w:t>Tabel 3.3 menampilkan peringkat 13 fitur berdasarkan Gini importance, yaitu rata-rata penurunan impurity yang dicapai oleh setiap fitur dalam pembuatan pohon keputusan.</w:t>
      </w:r>
    </w:p>
    <w:p>
      <w:pPr>
        <w:spacing w:lineRule="auto" w:line="360"/>
        <w:jc w:val="both"/>
      </w:pPr>
      <w:r>
        <w:rPr>
          <w:rFonts w:ascii="Times New Roman" w:hAnsi="Times New Roman" w:cs="Times New Roman"/>
          <w:b/>
          <w:i w:val="0"/>
          <w:sz w:val="24"/>
          <w:szCs w:val="24"/>
        </w:rPr>
        <w:t>Tabel 3.3 Feature Importance Berdasarkan Gini Importance</w:t>
      </w:r>
    </w:p>
    <w:tbl>
      <w:tblPr>
        <w:tblStyle w:val="TableGrid"/>
        <w:tblW w:type="auto" w:w="0"/>
        <w:jc w:val="center"/>
        <w:tblLook w:firstColumn="1" w:firstRow="1" w:lastColumn="0" w:lastRow="0" w:noHBand="0" w:noVBand="1" w:val="04A0"/>
      </w:tblPr>
      <w:tblGrid>
        <w:gridCol w:w="1856"/>
        <w:gridCol w:w="1856"/>
        <w:gridCol w:w="1856"/>
        <w:gridCol w:w="1856"/>
      </w:tblGrid>
      <w:tr>
        <w:tc>
          <w:tcPr>
            <w:tcW w:type="dxa" w:w="1856"/>
            <w:shd w:val="clear" w:fill="D9E2F3"/>
          </w:tcPr>
          <w:p>
            <w:r>
              <w:t>Peringkat</w:t>
            </w:r>
          </w:p>
        </w:tc>
        <w:tc>
          <w:tcPr>
            <w:tcW w:type="dxa" w:w="1856"/>
            <w:shd w:val="clear" w:fill="D9E2F3"/>
          </w:tcPr>
          <w:p>
            <w:r>
              <w:t>Fitur</w:t>
            </w:r>
          </w:p>
        </w:tc>
        <w:tc>
          <w:tcPr>
            <w:tcW w:type="dxa" w:w="1856"/>
            <w:shd w:val="clear" w:fill="D9E2F3"/>
          </w:tcPr>
          <w:p>
            <w:r>
              <w:t>Gini importance rerata</w:t>
            </w:r>
          </w:p>
        </w:tc>
        <w:tc>
          <w:tcPr>
            <w:tcW w:type="dxa" w:w="1856"/>
            <w:shd w:val="clear" w:fill="D9E2F3"/>
          </w:tcPr>
          <w:p>
            <w:r>
              <w:t>SD antar model CV</w:t>
            </w:r>
          </w:p>
        </w:tc>
      </w:tr>
      <w:tr>
        <w:tc>
          <w:tcPr>
            <w:tcW w:type="dxa" w:w="1856"/>
          </w:tcPr>
          <w:p>
            <w:r>
              <w:t>1</w:t>
            </w:r>
          </w:p>
        </w:tc>
        <w:tc>
          <w:tcPr>
            <w:tcW w:type="dxa" w:w="1856"/>
          </w:tcPr>
          <w:p>
            <w:r>
              <w:t>egfr_igd</w:t>
            </w:r>
          </w:p>
        </w:tc>
        <w:tc>
          <w:tcPr>
            <w:tcW w:type="dxa" w:w="1856"/>
          </w:tcPr>
          <w:p>
            <w:r>
              <w:t>0,1520</w:t>
            </w:r>
          </w:p>
        </w:tc>
        <w:tc>
          <w:tcPr>
            <w:tcW w:type="dxa" w:w="1856"/>
          </w:tcPr>
          <w:p>
            <w:r>
              <w:t>0,0161</w:t>
            </w:r>
          </w:p>
        </w:tc>
      </w:tr>
      <w:tr>
        <w:tc>
          <w:tcPr>
            <w:tcW w:type="dxa" w:w="1856"/>
          </w:tcPr>
          <w:p>
            <w:r>
              <w:t>2</w:t>
            </w:r>
          </w:p>
        </w:tc>
        <w:tc>
          <w:tcPr>
            <w:tcW w:type="dxa" w:w="1856"/>
          </w:tcPr>
          <w:p>
            <w:r>
              <w:t>ureum_igd</w:t>
            </w:r>
          </w:p>
        </w:tc>
        <w:tc>
          <w:tcPr>
            <w:tcW w:type="dxa" w:w="1856"/>
          </w:tcPr>
          <w:p>
            <w:r>
              <w:t>0,1312</w:t>
            </w:r>
          </w:p>
        </w:tc>
        <w:tc>
          <w:tcPr>
            <w:tcW w:type="dxa" w:w="1856"/>
          </w:tcPr>
          <w:p>
            <w:r>
              <w:t>0,0141</w:t>
            </w:r>
          </w:p>
        </w:tc>
      </w:tr>
      <w:tr>
        <w:tc>
          <w:tcPr>
            <w:tcW w:type="dxa" w:w="1856"/>
          </w:tcPr>
          <w:p>
            <w:r>
              <w:t>3</w:t>
            </w:r>
          </w:p>
        </w:tc>
        <w:tc>
          <w:tcPr>
            <w:tcW w:type="dxa" w:w="1856"/>
          </w:tcPr>
          <w:p>
            <w:r>
              <w:t>lvot_vti_igd</w:t>
            </w:r>
          </w:p>
        </w:tc>
        <w:tc>
          <w:tcPr>
            <w:tcW w:type="dxa" w:w="1856"/>
          </w:tcPr>
          <w:p>
            <w:r>
              <w:t>0,0615</w:t>
            </w:r>
          </w:p>
        </w:tc>
        <w:tc>
          <w:tcPr>
            <w:tcW w:type="dxa" w:w="1856"/>
          </w:tcPr>
          <w:p>
            <w:r>
              <w:t>0,0095</w:t>
            </w:r>
          </w:p>
        </w:tc>
      </w:tr>
      <w:tr>
        <w:tc>
          <w:tcPr>
            <w:tcW w:type="dxa" w:w="1856"/>
          </w:tcPr>
          <w:p>
            <w:r>
              <w:t>4</w:t>
            </w:r>
          </w:p>
        </w:tc>
        <w:tc>
          <w:tcPr>
            <w:tcW w:type="dxa" w:w="1856"/>
          </w:tcPr>
          <w:p>
            <w:r>
              <w:t>hb_igd</w:t>
            </w:r>
          </w:p>
        </w:tc>
        <w:tc>
          <w:tcPr>
            <w:tcW w:type="dxa" w:w="1856"/>
          </w:tcPr>
          <w:p>
            <w:r>
              <w:t>0,0798</w:t>
            </w:r>
          </w:p>
        </w:tc>
        <w:tc>
          <w:tcPr>
            <w:tcW w:type="dxa" w:w="1856"/>
          </w:tcPr>
          <w:p>
            <w:r>
              <w:t>0,0108</w:t>
            </w:r>
          </w:p>
        </w:tc>
      </w:tr>
      <w:tr>
        <w:tc>
          <w:tcPr>
            <w:tcW w:type="dxa" w:w="1856"/>
          </w:tcPr>
          <w:p>
            <w:r>
              <w:t>5</w:t>
            </w:r>
          </w:p>
        </w:tc>
        <w:tc>
          <w:tcPr>
            <w:tcW w:type="dxa" w:w="1856"/>
          </w:tcPr>
          <w:p>
            <w:r>
              <w:t>kalium_igd</w:t>
            </w:r>
          </w:p>
        </w:tc>
        <w:tc>
          <w:tcPr>
            <w:tcW w:type="dxa" w:w="1856"/>
          </w:tcPr>
          <w:p>
            <w:r>
              <w:t>0,0760</w:t>
            </w:r>
          </w:p>
        </w:tc>
        <w:tc>
          <w:tcPr>
            <w:tcW w:type="dxa" w:w="1856"/>
          </w:tcPr>
          <w:p>
            <w:r>
              <w:t>0,0085</w:t>
            </w:r>
          </w:p>
        </w:tc>
      </w:tr>
      <w:tr>
        <w:tc>
          <w:tcPr>
            <w:tcW w:type="dxa" w:w="1856"/>
          </w:tcPr>
          <w:p>
            <w:r>
              <w:t>6</w:t>
            </w:r>
          </w:p>
        </w:tc>
        <w:tc>
          <w:tcPr>
            <w:tcW w:type="dxa" w:w="1856"/>
          </w:tcPr>
          <w:p>
            <w:r>
              <w:t>aptt_value</w:t>
            </w:r>
          </w:p>
        </w:tc>
        <w:tc>
          <w:tcPr>
            <w:tcW w:type="dxa" w:w="1856"/>
          </w:tcPr>
          <w:p>
            <w:r>
              <w:t>0,0736</w:t>
            </w:r>
          </w:p>
        </w:tc>
        <w:tc>
          <w:tcPr>
            <w:tcW w:type="dxa" w:w="1856"/>
          </w:tcPr>
          <w:p>
            <w:r>
              <w:t>0,0080</w:t>
            </w:r>
          </w:p>
        </w:tc>
      </w:tr>
      <w:tr>
        <w:tc>
          <w:tcPr>
            <w:tcW w:type="dxa" w:w="1856"/>
          </w:tcPr>
          <w:p>
            <w:r>
              <w:t>7</w:t>
            </w:r>
          </w:p>
        </w:tc>
        <w:tc>
          <w:tcPr>
            <w:tcW w:type="dxa" w:w="1856"/>
          </w:tcPr>
          <w:p>
            <w:r>
              <w:t>age_when_admission</w:t>
            </w:r>
          </w:p>
        </w:tc>
        <w:tc>
          <w:tcPr>
            <w:tcW w:type="dxa" w:w="1856"/>
          </w:tcPr>
          <w:p>
            <w:r>
              <w:t>0,0705</w:t>
            </w:r>
          </w:p>
        </w:tc>
        <w:tc>
          <w:tcPr>
            <w:tcW w:type="dxa" w:w="1856"/>
          </w:tcPr>
          <w:p>
            <w:r>
              <w:t>0,0103</w:t>
            </w:r>
          </w:p>
        </w:tc>
      </w:tr>
      <w:tr>
        <w:tc>
          <w:tcPr>
            <w:tcW w:type="dxa" w:w="1856"/>
          </w:tcPr>
          <w:p>
            <w:r>
              <w:t>8</w:t>
            </w:r>
          </w:p>
        </w:tc>
        <w:tc>
          <w:tcPr>
            <w:tcW w:type="dxa" w:w="1856"/>
          </w:tcPr>
          <w:p>
            <w:r>
              <w:t>lvef</w:t>
            </w:r>
          </w:p>
        </w:tc>
        <w:tc>
          <w:tcPr>
            <w:tcW w:type="dxa" w:w="1856"/>
          </w:tcPr>
          <w:p>
            <w:r>
              <w:t>0,0681</w:t>
            </w:r>
          </w:p>
        </w:tc>
        <w:tc>
          <w:tcPr>
            <w:tcW w:type="dxa" w:w="1856"/>
          </w:tcPr>
          <w:p>
            <w:r>
              <w:t>0,0079</w:t>
            </w:r>
          </w:p>
        </w:tc>
      </w:tr>
      <w:tr>
        <w:tc>
          <w:tcPr>
            <w:tcW w:type="dxa" w:w="1856"/>
          </w:tcPr>
          <w:p>
            <w:r>
              <w:t>9</w:t>
            </w:r>
          </w:p>
        </w:tc>
        <w:tc>
          <w:tcPr>
            <w:tcW w:type="dxa" w:w="1856"/>
          </w:tcPr>
          <w:p>
            <w:r>
              <w:t>sbp</w:t>
            </w:r>
          </w:p>
        </w:tc>
        <w:tc>
          <w:tcPr>
            <w:tcW w:type="dxa" w:w="1856"/>
          </w:tcPr>
          <w:p>
            <w:r>
              <w:t>0,0591</w:t>
            </w:r>
          </w:p>
        </w:tc>
        <w:tc>
          <w:tcPr>
            <w:tcW w:type="dxa" w:w="1856"/>
          </w:tcPr>
          <w:p>
            <w:r>
              <w:t>0,0060</w:t>
            </w:r>
          </w:p>
        </w:tc>
      </w:tr>
      <w:tr>
        <w:tc>
          <w:tcPr>
            <w:tcW w:type="dxa" w:w="1856"/>
          </w:tcPr>
          <w:p>
            <w:r>
              <w:t>10</w:t>
            </w:r>
          </w:p>
        </w:tc>
        <w:tc>
          <w:tcPr>
            <w:tcW w:type="dxa" w:w="1856"/>
          </w:tcPr>
          <w:p>
            <w:r>
              <w:t>hr</w:t>
            </w:r>
          </w:p>
        </w:tc>
        <w:tc>
          <w:tcPr>
            <w:tcW w:type="dxa" w:w="1856"/>
          </w:tcPr>
          <w:p>
            <w:r>
              <w:t>0,0587</w:t>
            </w:r>
          </w:p>
        </w:tc>
        <w:tc>
          <w:tcPr>
            <w:tcW w:type="dxa" w:w="1856"/>
          </w:tcPr>
          <w:p>
            <w:r>
              <w:t>0,0055</w:t>
            </w:r>
          </w:p>
        </w:tc>
      </w:tr>
      <w:tr>
        <w:tc>
          <w:tcPr>
            <w:tcW w:type="dxa" w:w="1856"/>
          </w:tcPr>
          <w:p>
            <w:r>
              <w:t>11</w:t>
            </w:r>
          </w:p>
        </w:tc>
        <w:tc>
          <w:tcPr>
            <w:tcW w:type="dxa" w:w="1856"/>
          </w:tcPr>
          <w:p>
            <w:r>
              <w:t>rr</w:t>
            </w:r>
          </w:p>
        </w:tc>
        <w:tc>
          <w:tcPr>
            <w:tcW w:type="dxa" w:w="1856"/>
          </w:tcPr>
          <w:p>
            <w:r>
              <w:t>0,0523</w:t>
            </w:r>
          </w:p>
        </w:tc>
        <w:tc>
          <w:tcPr>
            <w:tcW w:type="dxa" w:w="1856"/>
          </w:tcPr>
          <w:p>
            <w:r>
              <w:t>0,0083</w:t>
            </w:r>
          </w:p>
        </w:tc>
      </w:tr>
      <w:tr>
        <w:tc>
          <w:tcPr>
            <w:tcW w:type="dxa" w:w="1856"/>
          </w:tcPr>
          <w:p>
            <w:r>
              <w:t>12</w:t>
            </w:r>
          </w:p>
        </w:tc>
        <w:tc>
          <w:tcPr>
            <w:tcW w:type="dxa" w:w="1856"/>
          </w:tcPr>
          <w:p>
            <w:r>
              <w:t>killip</w:t>
            </w:r>
          </w:p>
        </w:tc>
        <w:tc>
          <w:tcPr>
            <w:tcW w:type="dxa" w:w="1856"/>
          </w:tcPr>
          <w:p>
            <w:r>
              <w:t>0,0450</w:t>
            </w:r>
          </w:p>
        </w:tc>
        <w:tc>
          <w:tcPr>
            <w:tcW w:type="dxa" w:w="1856"/>
          </w:tcPr>
          <w:p>
            <w:r>
              <w:t>0,0111</w:t>
            </w:r>
          </w:p>
        </w:tc>
      </w:tr>
      <w:tr>
        <w:tc>
          <w:tcPr>
            <w:tcW w:type="dxa" w:w="1856"/>
          </w:tcPr>
          <w:p>
            <w:r>
              <w:t>13</w:t>
            </w:r>
          </w:p>
        </w:tc>
        <w:tc>
          <w:tcPr>
            <w:tcW w:type="dxa" w:w="1856"/>
          </w:tcPr>
          <w:p>
            <w:r>
              <w:t>tapse_value</w:t>
            </w:r>
          </w:p>
        </w:tc>
        <w:tc>
          <w:tcPr>
            <w:tcW w:type="dxa" w:w="1856"/>
          </w:tcPr>
          <w:p>
            <w:r>
              <w:t>0,0351</w:t>
            </w:r>
          </w:p>
        </w:tc>
        <w:tc>
          <w:tcPr>
            <w:tcW w:type="dxa" w:w="1856"/>
          </w:tcPr>
          <w:p>
            <w:r>
              <w:t>0,0062</w:t>
            </w:r>
          </w:p>
        </w:tc>
      </w:tr>
    </w:tbl>
    <w:p>
      <w:pPr>
        <w:spacing w:lineRule="auto" w:line="360"/>
        <w:jc w:val="both"/>
      </w:pPr>
      <w:r>
        <w:rPr>
          <w:rFonts w:ascii="Times New Roman" w:hAnsi="Times New Roman" w:cs="Times New Roman"/>
          <w:b w:val="0"/>
          <w:i w:val="0"/>
          <w:sz w:val="24"/>
          <w:szCs w:val="24"/>
        </w:rPr>
      </w:r>
    </w:p>
    <w:p>
      <w:pPr>
        <w:spacing w:before="120" w:after="60" w:line="360" w:lineRule="auto"/>
        <w:jc w:val="center"/>
      </w:pPr>
      <w:r>
        <w:rPr>
          <w:rFonts w:ascii="Times New Roman" w:hAnsi="Times New Roman" w:cs="Times New Roman"/>
          <w:sz w:val="24"/>
          <w:szCs w:val="24"/>
        </w:rPr>
        <w:drawing>
          <wp:inline>
            <wp:extent cx="4320000" cy="3224044"/>
            <wp:docPr id="10" name="Picture 10"/>
            <wp:cNvGraphicFramePr>
              <a:graphicFrameLocks noChangeAspect="1"/>
            </wp:cNvGraphicFramePr>
            <a:graphic>
              <a:graphicData uri="http://schemas.openxmlformats.org/drawingml/2006/picture">
                <pic:pic>
                  <pic:nvPicPr>
                    <pic:cNvPr id="0" name="04_feature_importance.png"/>
                    <pic:cNvPicPr/>
                  </pic:nvPicPr>
                  <pic:blipFill>
                    <a:blip r:embed="rId7"/>
                    <a:stretch>
                      <a:fillRect/>
                    </a:stretch>
                  </pic:blipFill>
                  <pic:spPr>
                    <a:xfrm>
                      <a:off x="0" y="0"/>
                      <a:ext cx="4320000" cy="3224044"/>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3.8 Feature Importance (Gini) Model Random Forest</w:t>
      </w:r>
    </w:p>
    <w:p>
      <w:pPr>
        <w:spacing w:lineRule="auto" w:line="360"/>
        <w:ind w:firstLine="720"/>
        <w:jc w:val="both"/>
      </w:pPr>
      <w:r>
        <w:rPr>
          <w:rFonts w:ascii="Times New Roman" w:hAnsi="Times New Roman" w:cs="Times New Roman"/>
          <w:b w:val="0"/>
          <w:i w:val="0"/>
          <w:sz w:val="24"/>
          <w:szCs w:val="24"/>
        </w:rPr>
        <w:t>Tiga fitur teratas adalah ureum, eGFR, dan usia. Dominasi parameter fungsi ginjal (eGFR dan ureum) menunjukkan bahwa disfungsi ginjal merupakan penanda paling sensitif untuk hipoperfusi organ dan keparahan penyakit pada pasien SKA. LVOT VTI sebagai fitur ketiga terpenting mengonfirmasi pentingnya penilaian curah jantung secara langsung melalui ekokardiografi.</w:t>
      </w:r>
    </w:p>
    <w:p>
      <w:pPr>
        <w:spacing w:lineRule="auto" w:line="360"/>
        <w:jc w:val="both"/>
      </w:pPr>
      <w:r>
        <w:rPr>
          <w:rFonts w:ascii="Times New Roman" w:hAnsi="Times New Roman" w:cs="Times New Roman"/>
          <w:b/>
          <w:i w:val="0"/>
          <w:sz w:val="24"/>
          <w:szCs w:val="24"/>
        </w:rPr>
        <w:t>3.3.2 Analisis Ablasi (Leave-One-Feature-Out)</w:t>
      </w:r>
    </w:p>
    <w:p>
      <w:pPr>
        <w:spacing w:lineRule="auto" w:line="360"/>
        <w:ind w:firstLine="720"/>
        <w:jc w:val="both"/>
      </w:pPr>
      <w:r>
        <w:rPr>
          <w:rFonts w:ascii="Times New Roman" w:hAnsi="Times New Roman" w:cs="Times New Roman"/>
          <w:b w:val="0"/>
          <w:i w:val="0"/>
          <w:sz w:val="24"/>
          <w:szCs w:val="24"/>
        </w:rPr>
        <w:t>Analisis ablasi dilakukan dengan menghapus satu fitur secara bergantian dan mengukur penurunan AUC untuk menilai kontribusi unik setiap fitur terhadap performa model.</w:t>
      </w:r>
    </w:p>
    <w:p>
      <w:pPr>
        <w:spacing w:before="120" w:after="60" w:line="360" w:lineRule="auto"/>
        <w:jc w:val="center"/>
      </w:pPr>
      <w:r>
        <w:rPr>
          <w:rFonts w:ascii="Times New Roman" w:hAnsi="Times New Roman" w:cs="Times New Roman"/>
          <w:sz w:val="24"/>
          <w:szCs w:val="24"/>
        </w:rPr>
        <w:drawing>
          <wp:inline>
            <wp:extent cx="5040000" cy="3764563"/>
            <wp:docPr id="11" name="Picture 11"/>
            <wp:cNvGraphicFramePr>
              <a:graphicFrameLocks noChangeAspect="1"/>
            </wp:cNvGraphicFramePr>
            <a:graphic>
              <a:graphicData uri="http://schemas.openxmlformats.org/drawingml/2006/picture">
                <pic:pic>
                  <pic:nvPicPr>
                    <pic:cNvPr id="0" name="08_ablation_analysis.png"/>
                    <pic:cNvPicPr/>
                  </pic:nvPicPr>
                  <pic:blipFill>
                    <a:blip r:embed="rId8"/>
                    <a:stretch>
                      <a:fillRect/>
                    </a:stretch>
                  </pic:blipFill>
                  <pic:spPr>
                    <a:xfrm>
                      <a:off x="0" y="0"/>
                      <a:ext cx="5040000" cy="3764563"/>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3.9 Analisis Ablasi: Penurunan AUC Setiap Fitur</w:t>
      </w:r>
    </w:p>
    <w:p>
      <w:pPr>
        <w:spacing w:lineRule="auto" w:line="360"/>
        <w:ind w:firstLine="720"/>
        <w:jc w:val="both"/>
      </w:pPr>
      <w:r>
        <w:rPr>
          <w:rFonts w:ascii="Times New Roman" w:hAnsi="Times New Roman" w:cs="Times New Roman"/>
          <w:b w:val="0"/>
          <w:i w:val="0"/>
          <w:sz w:val="24"/>
          <w:szCs w:val="24"/>
        </w:rPr>
        <w:t>Hasil analisis ablasi konsisten dengan Gini importance, di mana eGFR dan ureum kembali menunjukkan penurunan AUC terbesar saat dihapus. LVEF menunjukkan kontribusi yang lebih besar dalam analisis ablasi dibandingkan Gini importance, mengindikasikan bahwa LVEF memiliki interaksi non-linear yang signifikan dengan fitur lain.</w:t>
      </w:r>
    </w:p>
    <w:p>
      <w:pPr>
        <w:spacing w:lineRule="auto" w:line="360" w:before="120" w:after="60"/>
        <w:jc w:val="left"/>
      </w:pPr>
      <w:r>
        <w:rPr>
          <w:rFonts w:ascii="Times New Roman" w:hAnsi="Times New Roman" w:cs="Times New Roman"/>
          <w:b/>
          <w:i w:val="0"/>
          <w:sz w:val="24"/>
          <w:szCs w:val="24"/>
        </w:rPr>
        <w:t>3.4 Sistem Triase Bertingkat (Tiered Triage System)</w:t>
      </w:r>
    </w:p>
    <w:p>
      <w:pPr>
        <w:spacing w:lineRule="auto" w:line="360"/>
        <w:ind w:firstLine="720"/>
        <w:jc w:val="both"/>
      </w:pPr>
      <w:r>
        <w:t>Berdasarkan probabilitas prediksi dari model Random Forest, dikembangkan sistem triase bertingkat tiga tingkat untuk stratifikasi risiko pasien di IGD: tingkat pertama (risiko rendah) dengan probabilitas &lt;0,018455 direkomendasikan untuk rawat inap lantai dasar (ward), tingkat kedua (risiko sedang) dengan probabilitas 0,018455–0,103981 direkomendasikan untuk perawatan High Care Unit (HCU), dan tingkat ketiga (risiko tinggi) dengan probabilitas ≥0,103981 direkomendasikan untuk perawatan intensif (ICU).</w:t>
      </w:r>
    </w:p>
    <w:p>
      <w:pPr>
        <w:spacing w:lineRule="auto" w:line="360"/>
        <w:jc w:val="both"/>
      </w:pPr>
      <w:r>
        <w:rPr>
          <w:rFonts w:ascii="Times New Roman" w:hAnsi="Times New Roman" w:cs="Times New Roman"/>
          <w:b/>
          <w:i w:val="0"/>
          <w:sz w:val="24"/>
          <w:szCs w:val="24"/>
        </w:rPr>
        <w:t>Tabel 3.4 Sistem Triase Bertingkat</w:t>
      </w:r>
    </w:p>
    <w:tbl>
      <w:tblPr>
        <w:tblStyle w:val="TableGrid"/>
        <w:tblW w:type="auto" w:w="0"/>
        <w:jc w:val="center"/>
        <w:tblLook w:firstColumn="1" w:firstRow="1" w:lastColumn="0" w:lastRow="0" w:noHBand="0" w:noVBand="1" w:val="04A0"/>
      </w:tblPr>
      <w:tblGrid>
        <w:gridCol w:w="1485"/>
        <w:gridCol w:w="1485"/>
        <w:gridCol w:w="1485"/>
        <w:gridCol w:w="1485"/>
        <w:gridCol w:w="1485"/>
      </w:tblGrid>
      <w:tr>
        <w:tc>
          <w:tcPr>
            <w:tcW w:type="dxa" w:w="1485"/>
            <w:shd w:val="clear" w:fill="D9E2F3"/>
          </w:tcPr>
          <w:p>
            <w:r>
              <w:t>Kategori Risiko</w:t>
            </w:r>
          </w:p>
        </w:tc>
        <w:tc>
          <w:tcPr>
            <w:tcW w:type="dxa" w:w="1485"/>
            <w:shd w:val="clear" w:fill="D9E2F3"/>
          </w:tcPr>
          <w:p>
            <w:r>
              <w:t>Ambang Batas</w:t>
            </w:r>
          </w:p>
        </w:tc>
        <w:tc>
          <w:tcPr>
            <w:tcW w:type="dxa" w:w="1485"/>
            <w:shd w:val="clear" w:fill="D9E2F3"/>
          </w:tcPr>
          <w:p>
            <w:r>
              <w:t>n</w:t>
            </w:r>
          </w:p>
        </w:tc>
        <w:tc>
          <w:tcPr>
            <w:tcW w:type="dxa" w:w="1485"/>
            <w:shd w:val="clear" w:fill="D9E2F3"/>
          </w:tcPr>
          <w:p>
            <w:r>
              <w:t>Mortalitas</w:t>
            </w:r>
          </w:p>
        </w:tc>
        <w:tc>
          <w:tcPr>
            <w:tcW w:type="dxa" w:w="1485"/>
            <w:shd w:val="clear" w:fill="D9E2F3"/>
          </w:tcPr>
          <w:p>
            <w:r>
              <w:t>Interpretasi validasi</w:t>
            </w:r>
          </w:p>
        </w:tc>
      </w:tr>
      <w:tr>
        <w:tc>
          <w:tcPr>
            <w:tcW w:type="dxa" w:w="1485"/>
          </w:tcPr>
          <w:p>
            <w:r>
              <w:t>Risiko rendah / Ward</w:t>
            </w:r>
          </w:p>
        </w:tc>
        <w:tc>
          <w:tcPr>
            <w:tcW w:type="dxa" w:w="1485"/>
          </w:tcPr>
          <w:p>
            <w:r>
              <w:t>&lt; 0,018455</w:t>
            </w:r>
          </w:p>
        </w:tc>
        <w:tc>
          <w:tcPr>
            <w:tcW w:type="dxa" w:w="1485"/>
          </w:tcPr>
          <w:p>
            <w:r>
              <w:t>371</w:t>
            </w:r>
          </w:p>
        </w:tc>
        <w:tc>
          <w:tcPr>
            <w:tcW w:type="dxa" w:w="1485"/>
          </w:tcPr>
          <w:p>
            <w:r>
              <w:t>2 (0,5%)</w:t>
            </w:r>
          </w:p>
        </w:tc>
        <w:tc>
          <w:tcPr>
            <w:tcW w:type="dxa" w:w="1485"/>
          </w:tcPr>
          <w:p>
            <w:r>
              <w:t>Memerlukan validasi eksternal</w:t>
            </w:r>
          </w:p>
        </w:tc>
      </w:tr>
      <w:tr>
        <w:tc>
          <w:tcPr>
            <w:tcW w:type="dxa" w:w="1485"/>
          </w:tcPr>
          <w:p>
            <w:r>
              <w:t>Risiko sedang / HCU</w:t>
            </w:r>
          </w:p>
        </w:tc>
        <w:tc>
          <w:tcPr>
            <w:tcW w:type="dxa" w:w="1485"/>
          </w:tcPr>
          <w:p>
            <w:r>
              <w:t>0,018455 sampai &lt; 0,103981</w:t>
            </w:r>
          </w:p>
        </w:tc>
        <w:tc>
          <w:tcPr>
            <w:tcW w:type="dxa" w:w="1485"/>
          </w:tcPr>
          <w:p>
            <w:r>
              <w:t>817</w:t>
            </w:r>
          </w:p>
        </w:tc>
        <w:tc>
          <w:tcPr>
            <w:tcW w:type="dxa" w:w="1485"/>
          </w:tcPr>
          <w:p>
            <w:r>
              <w:t>31 (3,8%)</w:t>
            </w:r>
          </w:p>
        </w:tc>
        <w:tc>
          <w:tcPr>
            <w:tcW w:type="dxa" w:w="1485"/>
          </w:tcPr>
          <w:p>
            <w:r>
              <w:t>Memerlukan validasi eksternal</w:t>
            </w:r>
          </w:p>
        </w:tc>
      </w:tr>
      <w:tr>
        <w:tc>
          <w:tcPr>
            <w:tcW w:type="dxa" w:w="1485"/>
          </w:tcPr>
          <w:p>
            <w:r>
              <w:t>Risiko tinggi / ICU</w:t>
            </w:r>
          </w:p>
        </w:tc>
        <w:tc>
          <w:tcPr>
            <w:tcW w:type="dxa" w:w="1485"/>
          </w:tcPr>
          <w:p>
            <w:r>
              <w:t>≥ 0,103981</w:t>
            </w:r>
          </w:p>
        </w:tc>
        <w:tc>
          <w:tcPr>
            <w:tcW w:type="dxa" w:w="1485"/>
          </w:tcPr>
          <w:p>
            <w:r>
              <w:t>336</w:t>
            </w:r>
          </w:p>
        </w:tc>
        <w:tc>
          <w:tcPr>
            <w:tcW w:type="dxa" w:w="1485"/>
          </w:tcPr>
          <w:p>
            <w:r>
              <w:t>82 (24,4%)</w:t>
            </w:r>
          </w:p>
        </w:tc>
        <w:tc>
          <w:tcPr>
            <w:tcW w:type="dxa" w:w="1485"/>
          </w:tcPr>
          <w:p>
            <w:r>
              <w:t>Memerlukan validasi eksternal</w:t>
            </w:r>
          </w:p>
        </w:tc>
      </w:tr>
    </w:tbl>
    <w:p>
      <w:pPr>
        <w:spacing w:lineRule="auto" w:line="360"/>
        <w:jc w:val="both"/>
      </w:pPr>
      <w:r>
        <w:rPr>
          <w:rFonts w:ascii="Times New Roman" w:hAnsi="Times New Roman" w:cs="Times New Roman"/>
          <w:b w:val="0"/>
          <w:i w:val="0"/>
          <w:sz w:val="24"/>
          <w:szCs w:val="24"/>
        </w:rPr>
      </w:r>
    </w:p>
    <w:p>
      <w:pPr>
        <w:spacing w:lineRule="auto" w:line="360"/>
        <w:ind w:firstLine="720"/>
        <w:jc w:val="both"/>
      </w:pPr>
      <w:r>
        <w:rPr>
          <w:rFonts w:ascii="Times New Roman" w:hAnsi="Times New Roman" w:cs="Times New Roman"/>
          <w:b w:val="0"/>
          <w:i w:val="0"/>
          <w:sz w:val="24"/>
          <w:szCs w:val="24"/>
        </w:rPr>
        <w:t>Sistem triase ini menunjukkan gradien risiko yang sangat jelas: dari 0,7% pada kelompok risiko rendah, 2,7% pada kelompok risiko sedang, hingga 18,3% pada kelompok risiko tinggi. Kelompok risiko tinggi (33,3% dari total populasi) menyumbang 80,9% dari seluruh kejadian mortalitas, menunjukkan efisiensi stratifikasi yang baik. Adanya kelompok risiko sedang (HCU) mencegah over-triage dengan mengalokasikan pasien moderate-risk ke unit perawatan intermediat, bukan ke ICU.</w:t>
      </w:r>
    </w:p>
    <w:p>
      <w:pPr>
        <w:spacing w:before="120" w:after="60" w:line="360" w:lineRule="auto"/>
        <w:jc w:val="center"/>
      </w:pPr>
      <w:r>
        <w:rPr>
          <w:rFonts w:ascii="Times New Roman" w:hAnsi="Times New Roman" w:cs="Times New Roman"/>
          <w:sz w:val="24"/>
          <w:szCs w:val="24"/>
        </w:rPr>
        <w:drawing>
          <wp:inline>
            <wp:extent cx="4320000" cy="1867683"/>
            <wp:docPr id="12" name="Picture 12"/>
            <wp:cNvGraphicFramePr>
              <a:graphicFrameLocks noChangeAspect="1"/>
            </wp:cNvGraphicFramePr>
            <a:graphic>
              <a:graphicData uri="http://schemas.openxmlformats.org/drawingml/2006/picture">
                <pic:pic>
                  <pic:nvPicPr>
                    <pic:cNvPr id="0" name="09_tiered_triage.png"/>
                    <pic:cNvPicPr/>
                  </pic:nvPicPr>
                  <pic:blipFill>
                    <a:blip r:embed="rId9"/>
                    <a:stretch>
                      <a:fillRect/>
                    </a:stretch>
                  </pic:blipFill>
                  <pic:spPr>
                    <a:xfrm>
                      <a:off x="0" y="0"/>
                      <a:ext cx="4320000" cy="1867683"/>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3.10 Sistem Triase Bertingkat untuk Stratifikasi Risiko di IGD</w:t>
      </w:r>
    </w:p>
    <w:p>
      <w:pPr>
        <w:spacing w:lineRule="auto" w:line="360" w:before="120" w:after="60"/>
        <w:jc w:val="left"/>
      </w:pPr>
      <w:r>
        <w:rPr>
          <w:rFonts w:ascii="Times New Roman" w:hAnsi="Times New Roman" w:cs="Times New Roman"/>
          <w:b/>
          <w:i w:val="0"/>
          <w:sz w:val="24"/>
          <w:szCs w:val="24"/>
        </w:rPr>
        <w:t>3.5 Performa Model untuk Berbagai Luaran</w:t>
      </w:r>
    </w:p>
    <w:p>
      <w:pPr>
        <w:spacing w:lineRule="auto" w:line="360"/>
        <w:ind w:firstLine="720"/>
        <w:jc w:val="both"/>
      </w:pPr>
      <w:r>
        <w:rPr>
          <w:rFonts w:ascii="Times New Roman" w:hAnsi="Times New Roman" w:cs="Times New Roman"/>
          <w:b w:val="0"/>
          <w:i w:val="0"/>
          <w:sz w:val="24"/>
          <w:szCs w:val="24"/>
        </w:rPr>
        <w:t>Selain mortalitas in-hospital, model Random Forest juga dievaluasi untuk luaran sekunder, yaitu syok kardiogenik baru (CS new) dan luaran komposit (mortalitas dan/atau SKG).</w:t>
      </w:r>
    </w:p>
    <w:p>
      <w:pPr>
        <w:spacing w:lineRule="auto" w:line="360"/>
        <w:jc w:val="both"/>
      </w:pPr>
      <w:r>
        <w:rPr>
          <w:rFonts w:ascii="Times New Roman" w:hAnsi="Times New Roman" w:cs="Times New Roman"/>
          <w:b/>
          <w:i w:val="0"/>
          <w:sz w:val="24"/>
          <w:szCs w:val="24"/>
        </w:rPr>
        <w:t>Tabel 3.5 Performa Model untuk Berbagai Luaran</w:t>
      </w:r>
    </w:p>
    <w:tbl>
      <w:tblPr>
        <w:tblStyle w:val="TableGrid"/>
        <w:tblW w:type="auto" w:w="0"/>
        <w:jc w:val="center"/>
        <w:tblLook w:firstColumn="1" w:firstRow="1" w:lastColumn="0" w:lastRow="0" w:noHBand="0" w:noVBand="1" w:val="04A0"/>
      </w:tblPr>
      <w:tblGrid>
        <w:gridCol w:w="1485"/>
        <w:gridCol w:w="1485"/>
        <w:gridCol w:w="1485"/>
        <w:gridCol w:w="1485"/>
        <w:gridCol w:w="1485"/>
      </w:tblGrid>
      <w:tr>
        <w:tc>
          <w:tcPr>
            <w:tcW w:type="dxa" w:w="1485"/>
            <w:shd w:val="clear" w:fill="D9E2F3"/>
          </w:tcPr>
          <w:p>
            <w:r>
              <w:t>Luaran</w:t>
            </w:r>
          </w:p>
        </w:tc>
        <w:tc>
          <w:tcPr>
            <w:tcW w:type="dxa" w:w="1485"/>
            <w:shd w:val="clear" w:fill="D9E2F3"/>
          </w:tcPr>
          <w:p>
            <w:r>
              <w:t>AUC</w:t>
            </w:r>
          </w:p>
        </w:tc>
        <w:tc>
          <w:tcPr>
            <w:tcW w:type="dxa" w:w="1485"/>
            <w:shd w:val="clear" w:fill="D9E2F3"/>
          </w:tcPr>
          <w:p>
            <w:r>
              <w:t>AUPRC</w:t>
            </w:r>
          </w:p>
        </w:tc>
        <w:tc>
          <w:tcPr>
            <w:tcW w:type="dxa" w:w="1485"/>
            <w:shd w:val="clear" w:fill="D9E2F3"/>
          </w:tcPr>
          <w:p>
            <w:r>
              <w:t>Prevalensi</w:t>
            </w:r>
          </w:p>
        </w:tc>
        <w:tc>
          <w:tcPr>
            <w:tcW w:type="dxa" w:w="1485"/>
            <w:shd w:val="clear" w:fill="D9E2F3"/>
          </w:tcPr>
          <w:p>
            <w:r>
              <w:t>Interpretasi</w:t>
            </w:r>
          </w:p>
        </w:tc>
      </w:tr>
      <w:tr>
        <w:tc>
          <w:tcPr>
            <w:tcW w:type="dxa" w:w="1485"/>
          </w:tcPr>
          <w:p>
            <w:r>
              <w:t>Mortalitas</w:t>
            </w:r>
          </w:p>
        </w:tc>
        <w:tc>
          <w:tcPr>
            <w:tcW w:type="dxa" w:w="1485"/>
          </w:tcPr>
          <w:p>
            <w:r>
              <w:t>0,819</w:t>
            </w:r>
          </w:p>
        </w:tc>
        <w:tc>
          <w:tcPr>
            <w:tcW w:type="dxa" w:w="1485"/>
          </w:tcPr>
          <w:p>
            <w:r>
              <w:t>0,301</w:t>
            </w:r>
          </w:p>
        </w:tc>
        <w:tc>
          <w:tcPr>
            <w:tcW w:type="dxa" w:w="1485"/>
          </w:tcPr>
          <w:p>
            <w:r>
              <w:t>7,5%</w:t>
            </w:r>
          </w:p>
        </w:tc>
        <w:tc>
          <w:tcPr>
            <w:tcW w:type="dxa" w:w="1485"/>
          </w:tcPr>
          <w:p>
            <w:r>
              <w:t>Diskriminasi baik; Brier 0,061</w:t>
            </w:r>
          </w:p>
        </w:tc>
      </w:tr>
      <w:tr>
        <w:tc>
          <w:tcPr>
            <w:tcW w:type="dxa" w:w="148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Syok Kardiogenik (CS new)</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0,670</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0,500</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4,8%</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Diskriminasi cukup</w:t>
            </w:r>
          </w:p>
        </w:tc>
      </w:tr>
      <w:tr>
        <w:tc>
          <w:tcPr>
            <w:tcW w:type="dxa" w:w="148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Komposit (Mortalitas/SKG)</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0,742</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0,635</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10,2%</w:t>
            </w:r>
          </w:p>
        </w:tc>
        <w:tc>
          <w:tcPr>
            <w:tcW w:type="dxa" w:w="148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Diskriminasi cukup-baik</w:t>
            </w:r>
          </w:p>
        </w:tc>
      </w:tr>
    </w:tbl>
    <w:p>
      <w:pPr>
        <w:spacing w:lineRule="auto" w:line="360"/>
        <w:jc w:val="both"/>
      </w:pPr>
      <w:r>
        <w:rPr>
          <w:rFonts w:ascii="Times New Roman" w:hAnsi="Times New Roman" w:cs="Times New Roman"/>
          <w:b w:val="0"/>
          <w:i w:val="0"/>
          <w:sz w:val="24"/>
          <w:szCs w:val="24"/>
        </w:rPr>
      </w:r>
    </w:p>
    <w:p>
      <w:pPr>
        <w:spacing w:before="120" w:after="60" w:line="360" w:lineRule="auto"/>
        <w:jc w:val="center"/>
      </w:pPr>
      <w:r>
        <w:rPr>
          <w:rFonts w:ascii="Times New Roman" w:hAnsi="Times New Roman" w:cs="Times New Roman"/>
          <w:sz w:val="24"/>
          <w:szCs w:val="24"/>
        </w:rPr>
        <w:drawing>
          <wp:inline>
            <wp:extent cx="5040000" cy="4458229"/>
            <wp:docPr id="13" name="Picture 13"/>
            <wp:cNvGraphicFramePr>
              <a:graphicFrameLocks noChangeAspect="1"/>
            </wp:cNvGraphicFramePr>
            <a:graphic>
              <a:graphicData uri="http://schemas.openxmlformats.org/drawingml/2006/picture">
                <pic:pic>
                  <pic:nvPicPr>
                    <pic:cNvPr id="0" name="12_thesis_composite.png"/>
                    <pic:cNvPicPr/>
                  </pic:nvPicPr>
                  <pic:blipFill>
                    <a:blip r:embed="rId10"/>
                    <a:stretch>
                      <a:fillRect/>
                    </a:stretch>
                  </pic:blipFill>
                  <pic:spPr>
                    <a:xfrm>
                      <a:off x="0" y="0"/>
                      <a:ext cx="5040000" cy="4458229"/>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3.11 Perbandingan Kurva ROC untuk Berbagai Luaran</w:t>
      </w:r>
    </w:p>
    <w:p>
      <w:pPr>
        <w:spacing w:lineRule="auto" w:line="360"/>
        <w:ind w:firstLine="720"/>
        <w:jc w:val="both"/>
      </w:pPr>
      <w:r>
        <w:rPr>
          <w:rFonts w:ascii="Times New Roman" w:hAnsi="Times New Roman" w:cs="Times New Roman"/>
          <w:b w:val="0"/>
          <w:i w:val="0"/>
          <w:sz w:val="24"/>
          <w:szCs w:val="24"/>
        </w:rPr>
        <w:t>Model menunjukkan performa terbaik untuk luaran mortalitas (AUC 0,818), diikuti oleh luaran komposit (AUC 0,742), dan syok kardiogenik baru (AUC 0,670). Perbedaan ini dapat dijelaskan oleh heterogenitas definisi dan pencatatan luaran SKG dalam rekam medis, serta kemungkinan overlap antara SKG yang sudah manifes saat admisi dan yang baru timbul selama perawatan.</w:t>
      </w:r>
    </w:p>
    <w:p>
      <w:pPr>
        <w:spacing w:lineRule="auto" w:line="360" w:before="120" w:after="60"/>
        <w:jc w:val="left"/>
      </w:pPr>
      <w:r>
        <w:rPr>
          <w:rFonts w:ascii="Times New Roman" w:hAnsi="Times New Roman" w:cs="Times New Roman"/>
          <w:b/>
          <w:i w:val="0"/>
          <w:sz w:val="24"/>
          <w:szCs w:val="24"/>
        </w:rPr>
        <w:t>3.6 Perbandingan Random Forest dengan XGBoost</w:t>
      </w:r>
    </w:p>
    <w:p>
      <w:pPr>
        <w:spacing w:lineRule="auto" w:line="360"/>
        <w:ind w:firstLine="720"/>
        <w:jc w:val="both"/>
      </w:pPr>
      <w:r>
        <w:rPr>
          <w:rFonts w:ascii="Times New Roman" w:hAnsi="Times New Roman" w:cs="Times New Roman"/>
          <w:b w:val="0"/>
          <w:i w:val="0"/>
          <w:sz w:val="24"/>
          <w:szCs w:val="24"/>
        </w:rPr>
        <w:t>Sebagai analisis komparatif, model XGBoost juga dikembangkan dan dievaluasi pada dataset yang sama. Tabel 3.6 menyajikan perbandingan performa antara Random Forest dan XGBoost.</w:t>
      </w:r>
    </w:p>
    <w:p>
      <w:pPr>
        <w:spacing w:lineRule="auto" w:line="360"/>
        <w:jc w:val="both"/>
      </w:pPr>
      <w:r>
        <w:rPr>
          <w:rFonts w:ascii="Times New Roman" w:hAnsi="Times New Roman" w:cs="Times New Roman"/>
          <w:b/>
          <w:i w:val="0"/>
          <w:sz w:val="24"/>
          <w:szCs w:val="24"/>
        </w:rPr>
        <w:t>Tabel 3.6 Perbandingan Performa Random Forest vs XGBoost</w:t>
      </w:r>
    </w:p>
    <w:tbl>
      <w:tblPr>
        <w:tblStyle w:val="TableGrid"/>
        <w:tblW w:type="auto" w:w="0"/>
        <w:jc w:val="center"/>
        <w:tblLook w:firstColumn="1" w:firstRow="1" w:lastColumn="0" w:lastRow="0" w:noHBand="0" w:noVBand="1" w:val="04A0"/>
      </w:tblPr>
      <w:tblGrid>
        <w:gridCol w:w="2475"/>
        <w:gridCol w:w="2475"/>
        <w:gridCol w:w="2475"/>
      </w:tblGrid>
      <w:tr>
        <w:tc>
          <w:tcPr>
            <w:tcW w:type="dxa" w:w="2475"/>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Metrik</w:t>
            </w:r>
          </w:p>
        </w:tc>
        <w:tc>
          <w:tcPr>
            <w:tcW w:type="dxa" w:w="2475"/>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Random Forest</w:t>
            </w:r>
          </w:p>
        </w:tc>
        <w:tc>
          <w:tcPr>
            <w:tcW w:type="dxa" w:w="2475"/>
            <w:shd w:val="clear" w:fill="D9E2F3"/>
          </w:tcPr>
          <w:p>
            <w:pPr>
              <w:jc w:val="center"/>
              <w:spacing w:line="360" w:lineRule="auto"/>
            </w:pPr>
            <w:r>
              <w:rPr>
                <w:rFonts w:ascii="Times New Roman" w:hAnsi="Times New Roman" w:cs="Times New Roman"/>
                <w:sz w:val="24"/>
                <w:szCs w:val="24"/>
              </w:rPr>
            </w:r>
            <w:r>
              <w:rPr>
                <w:rFonts w:ascii="Times New Roman" w:hAnsi="Times New Roman" w:cs="Times New Roman"/>
                <w:b/>
                <w:sz w:val="24"/>
                <w:szCs w:val="24"/>
              </w:rPr>
              <w:t>XGBoost</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AUC-ROC</w:t>
            </w:r>
          </w:p>
        </w:tc>
        <w:tc>
          <w:tcPr>
            <w:tcW w:type="dxa" w:w="2475"/>
          </w:tcPr>
          <w:p>
            <w:r>
              <w:t>0,816 ± 0,008</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0,789</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AUPRC</w:t>
            </w:r>
          </w:p>
        </w:tc>
        <w:tc>
          <w:tcPr>
            <w:tcW w:type="dxa" w:w="2475"/>
          </w:tcPr>
          <w:p>
            <w:r>
              <w:t>0,301</w:t>
            </w:r>
          </w:p>
        </w:tc>
        <w:tc>
          <w:tcPr>
            <w:tcW w:type="dxa" w:w="2475"/>
          </w:tcPr>
          <w:p>
            <w:r>
              <w:t>0,301</w:t>
            </w:r>
          </w:p>
        </w:tc>
      </w:tr>
      <w:tr>
        <w:tc>
          <w:tcPr>
            <w:tcW w:type="dxa" w:w="2475"/>
          </w:tcPr>
          <w:p>
            <w:pPr>
              <w:jc w:val="center"/>
              <w:spacing w:line="360" w:lineRule="auto"/>
            </w:pPr>
            <w:r>
              <w:t>Sensitivitas (threshold safety)</w:t>
            </w:r>
          </w:p>
        </w:tc>
        <w:tc>
          <w:tcPr>
            <w:tcW w:type="dxa" w:w="2475"/>
          </w:tcPr>
          <w:p>
            <w:r>
              <w:t>98,3%</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94,5%</w:t>
            </w:r>
          </w:p>
        </w:tc>
      </w:tr>
      <w:tr>
        <w:tc>
          <w:tcPr>
            <w:tcW w:type="dxa" w:w="2475"/>
          </w:tcPr>
          <w:p>
            <w:pPr>
              <w:jc w:val="center"/>
              <w:spacing w:line="360" w:lineRule="auto"/>
            </w:pPr>
            <w:r>
              <w:t>Spesifisitas (threshold safety)</w:t>
            </w:r>
          </w:p>
        </w:tc>
        <w:tc>
          <w:tcPr>
            <w:tcW w:type="dxa" w:w="2475"/>
          </w:tcPr>
          <w:p>
            <w:r>
              <w:t>26,2%</w:t>
            </w:r>
          </w:p>
        </w:tc>
        <w:tc>
          <w:tcPr>
            <w:tcW w:type="dxa" w:w="2475"/>
          </w:tcPr>
          <w:p>
            <w:r>
              <w:t>15,2%</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Brier Score</w:t>
            </w:r>
          </w:p>
        </w:tc>
        <w:tc>
          <w:tcPr>
            <w:tcW w:type="dxa" w:w="2475"/>
          </w:tcPr>
          <w:p>
            <w:r>
              <w:t>0,061</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r>
            <w:r>
              <w:t>0,104</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Waktu Training (detik)</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45,2</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38,6</w:t>
            </w:r>
          </w:p>
        </w:tc>
      </w:tr>
      <w:tr>
        <w:tc>
          <w:tcPr>
            <w:tcW w:type="dxa" w:w="2475"/>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Jumlah Fitur Utama</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12</w:t>
            </w:r>
          </w:p>
        </w:tc>
        <w:tc>
          <w:tcPr>
            <w:tcW w:type="dxa" w:w="2475"/>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12</w:t>
            </w:r>
          </w:p>
        </w:tc>
      </w:tr>
    </w:tbl>
    <w:p>
      <w:pPr>
        <w:spacing w:lineRule="auto" w:line="360"/>
        <w:jc w:val="both"/>
      </w:pPr>
      <w:r>
        <w:rPr>
          <w:rFonts w:ascii="Times New Roman" w:hAnsi="Times New Roman" w:cs="Times New Roman"/>
          <w:b w:val="0"/>
          <w:i w:val="0"/>
          <w:sz w:val="24"/>
          <w:szCs w:val="24"/>
        </w:rPr>
      </w:r>
    </w:p>
    <w:p>
      <w:pPr>
        <w:spacing w:lineRule="auto" w:line="360"/>
        <w:ind w:firstLine="720"/>
        <w:jc w:val="both"/>
      </w:pPr>
      <w:r>
        <w:rPr>
          <w:rFonts w:ascii="Times New Roman" w:hAnsi="Times New Roman" w:cs="Times New Roman"/>
          <w:b w:val="0"/>
          <w:i w:val="0"/>
          <w:sz w:val="24"/>
          <w:szCs w:val="24"/>
        </w:rPr>
      </w:r>
    </w:p>
    <w:p>
      <w:pPr>
        <w:spacing w:lineRule="auto" w:line="360" w:before="120" w:after="60"/>
        <w:jc w:val="left"/>
      </w:pPr>
      <w:r>
        <w:rPr>
          <w:rFonts w:ascii="Times New Roman" w:hAnsi="Times New Roman" w:cs="Times New Roman"/>
          <w:b/>
          <w:i w:val="0"/>
          <w:sz w:val="24"/>
          <w:szCs w:val="24"/>
        </w:rPr>
        <w:t>3.7 Perbandingan dengan Skor Risiko Konvensional</w:t>
      </w:r>
    </w:p>
    <w:p>
      <w:pPr>
        <w:spacing w:lineRule="auto" w:line="360"/>
        <w:ind w:firstLine="720"/>
        <w:jc w:val="both"/>
      </w:pPr>
      <w:r>
        <w:rPr>
          <w:rFonts w:ascii="Times New Roman" w:hAnsi="Times New Roman" w:cs="Times New Roman"/>
          <w:b w:val="0"/>
          <w:i w:val="0"/>
          <w:sz w:val="24"/>
          <w:szCs w:val="24"/>
        </w:rPr>
        <w:t>Model Random Forest dibandingkan dengan skor risiko konvensional yang dilaporkan dalam literatur untuk prediksi mortalitas pada pasien SKA. Tabel 3.7 menyajikan perbandingan AUC dari berbagai studi.</w:t>
      </w:r>
    </w:p>
    <w:p>
      <w:pPr>
        <w:spacing w:lineRule="auto" w:line="360"/>
        <w:jc w:val="both"/>
      </w:pPr>
      <w:r>
        <w:rPr>
          <w:rFonts w:ascii="Times New Roman" w:hAnsi="Times New Roman" w:cs="Times New Roman"/>
          <w:b/>
          <w:i w:val="0"/>
          <w:sz w:val="24"/>
          <w:szCs w:val="24"/>
        </w:rPr>
        <w:t>Tabel 3.7 Perbandingan AUC dengan Skor Risiko Konvensional dari Literatur</w:t>
      </w:r>
    </w:p>
    <w:tbl>
      <w:tblPr>
        <w:tblStyle w:val="TableGrid"/>
        <w:tblW w:type="auto" w:w="0"/>
        <w:jc w:val="center"/>
        <w:tblLook w:firstColumn="1" w:firstRow="1" w:lastColumn="0" w:lastRow="0" w:noHBand="0" w:noVBand="1" w:val="04A0"/>
      </w:tblPr>
      <w:tblGrid>
        <w:gridCol w:w="1856"/>
        <w:gridCol w:w="1856"/>
        <w:gridCol w:w="1856"/>
        <w:gridCol w:w="1856"/>
      </w:tblGrid>
      <w:tr>
        <w:tc>
          <w:tcPr>
            <w:tcW w:type="dxa" w:w="1856"/>
            <w:shd w:val="clear" w:fill="D9E2F3"/>
          </w:tcPr>
          <w:p>
            <w:r>
              <w:t>Analisis</w:t>
            </w:r>
          </w:p>
        </w:tc>
        <w:tc>
          <w:tcPr>
            <w:tcW w:type="dxa" w:w="1856"/>
            <w:shd w:val="clear" w:fill="D9E2F3"/>
          </w:tcPr>
          <w:p>
            <w:r>
              <w:t>Populasi / ambang</w:t>
            </w:r>
          </w:p>
        </w:tc>
        <w:tc>
          <w:tcPr>
            <w:tcW w:type="dxa" w:w="1856"/>
            <w:shd w:val="clear" w:fill="D9E2F3"/>
          </w:tcPr>
          <w:p>
            <w:r>
              <w:t>Hasil</w:t>
            </w:r>
          </w:p>
        </w:tc>
        <w:tc>
          <w:tcPr>
            <w:tcW w:type="dxa" w:w="1856"/>
            <w:shd w:val="clear" w:fill="D9E2F3"/>
          </w:tcPr>
          <w:p>
            <w:r>
              <w:t>Nilai p / keterangan</w:t>
            </w:r>
          </w:p>
        </w:tc>
      </w:tr>
      <w:tr>
        <w:tc>
          <w:tcPr>
            <w:tcW w:type="dxa" w:w="1856"/>
          </w:tcPr>
          <w:p>
            <w:r>
              <w:t>Random Forest</w:t>
            </w:r>
          </w:p>
        </w:tc>
        <w:tc>
          <w:tcPr>
            <w:tcW w:type="dxa" w:w="1856"/>
          </w:tcPr>
          <w:p>
            <w:r>
              <w:t>N=1.524</w:t>
            </w:r>
          </w:p>
        </w:tc>
        <w:tc>
          <w:tcPr>
            <w:tcW w:type="dxa" w:w="1856"/>
          </w:tcPr>
          <w:p>
            <w:r>
              <w:t>AUC 0,819</w:t>
            </w:r>
          </w:p>
        </w:tc>
        <w:tc>
          <w:tcPr>
            <w:tcW w:type="dxa" w:w="1856"/>
          </w:tcPr>
          <w:p>
            <w:r>
              <w:t>Vektor OOF rerata</w:t>
            </w:r>
          </w:p>
        </w:tc>
      </w:tr>
      <w:tr>
        <w:tc>
          <w:tcPr>
            <w:tcW w:type="dxa" w:w="1856"/>
          </w:tcPr>
          <w:p>
            <w:r>
              <w:t>GRACE 2.0</w:t>
            </w:r>
          </w:p>
        </w:tc>
        <w:tc>
          <w:tcPr>
            <w:tcW w:type="dxa" w:w="1856"/>
          </w:tcPr>
          <w:p>
            <w:r>
              <w:t>N=1.524</w:t>
            </w:r>
          </w:p>
        </w:tc>
        <w:tc>
          <w:tcPr>
            <w:tcW w:type="dxa" w:w="1856"/>
          </w:tcPr>
          <w:p>
            <w:r>
              <w:t>AUC 0,777</w:t>
            </w:r>
          </w:p>
        </w:tc>
        <w:tc>
          <w:tcPr>
            <w:tcW w:type="dxa" w:w="1856"/>
          </w:tcPr>
          <w:p>
            <w:r>
              <w:t>Bootstrap p=0,0290</w:t>
            </w:r>
          </w:p>
        </w:tc>
      </w:tr>
      <w:tr>
        <w:tc>
          <w:tcPr>
            <w:tcW w:type="dxa" w:w="1856"/>
          </w:tcPr>
          <w:p>
            <w:r>
              <w:t>Selisih AUC</w:t>
            </w:r>
          </w:p>
        </w:tc>
        <w:tc>
          <w:tcPr>
            <w:tcW w:type="dxa" w:w="1856"/>
          </w:tcPr>
          <w:p>
            <w:r>
              <w:t>RF dikurangi GRACE</w:t>
            </w:r>
          </w:p>
        </w:tc>
        <w:tc>
          <w:tcPr>
            <w:tcW w:type="dxa" w:w="1856"/>
          </w:tcPr>
          <w:p>
            <w:r>
              <w:t>0,042</w:t>
            </w:r>
          </w:p>
        </w:tc>
        <w:tc>
          <w:tcPr>
            <w:tcW w:type="dxa" w:w="1856"/>
          </w:tcPr>
          <w:p>
            <w:r>
              <w:t>IK 95% 0,003 sampai 0,084</w:t>
            </w:r>
          </w:p>
        </w:tc>
      </w:tr>
      <w:tr>
        <w:tc>
          <w:tcPr>
            <w:tcW w:type="dxa" w:w="1856"/>
          </w:tcPr>
          <w:p>
            <w:r>
              <w:t>RF pada risiko ≥20%</w:t>
            </w:r>
          </w:p>
        </w:tc>
        <w:tc>
          <w:tcPr>
            <w:tcW w:type="dxa" w:w="1856"/>
          </w:tcPr>
          <w:p>
            <w:r>
              <w:t>Ambang 0,200</w:t>
            </w:r>
          </w:p>
        </w:tc>
        <w:tc>
          <w:tcPr>
            <w:tcW w:type="dxa" w:w="1856"/>
          </w:tcPr>
          <w:p>
            <w:r>
              <w:t>Sens 40,9%; spes 92,8%</w:t>
            </w:r>
          </w:p>
        </w:tc>
        <w:tc>
          <w:tcPr>
            <w:tcW w:type="dxa" w:w="1856"/>
          </w:tcPr>
          <w:p>
            <w:r>
              <w:t>FN=68</w:t>
            </w:r>
          </w:p>
        </w:tc>
      </w:tr>
      <w:tr>
        <w:tc>
          <w:tcPr>
            <w:tcW w:type="dxa" w:w="1856"/>
          </w:tcPr>
          <w:p>
            <w:r>
              <w:t>GRACE pada risiko ≥20%</w:t>
            </w:r>
          </w:p>
        </w:tc>
        <w:tc>
          <w:tcPr>
            <w:tcW w:type="dxa" w:w="1856"/>
          </w:tcPr>
          <w:p>
            <w:r>
              <w:t>Skor ≥163</w:t>
            </w:r>
          </w:p>
        </w:tc>
        <w:tc>
          <w:tcPr>
            <w:tcW w:type="dxa" w:w="1856"/>
          </w:tcPr>
          <w:p>
            <w:r>
              <w:t>Sens 52,2%; spes 85,3%</w:t>
            </w:r>
          </w:p>
        </w:tc>
        <w:tc>
          <w:tcPr>
            <w:tcW w:type="dxa" w:w="1856"/>
          </w:tcPr>
          <w:p>
            <w:r>
              <w:t>FN=55</w:t>
            </w:r>
          </w:p>
        </w:tc>
      </w:tr>
      <w:tr>
        <w:tc>
          <w:tcPr>
            <w:tcW w:type="dxa" w:w="1856"/>
          </w:tcPr>
          <w:p>
            <w:r>
              <w:t>McNemar berpasangan</w:t>
            </w:r>
          </w:p>
        </w:tc>
        <w:tc>
          <w:tcPr>
            <w:tcW w:type="dxa" w:w="1856"/>
          </w:tcPr>
          <w:p>
            <w:r>
              <w:t>Ambang risiko 20%</w:t>
            </w:r>
          </w:p>
        </w:tc>
        <w:tc>
          <w:tcPr>
            <w:tcW w:type="dxa" w:w="1856"/>
          </w:tcPr>
          <w:p>
            <w:r>
              <w:t>RF saja benar=159; GRACE saja benar=66</w:t>
            </w:r>
          </w:p>
        </w:tc>
        <w:tc>
          <w:tcPr>
            <w:tcW w:type="dxa" w:w="1856"/>
          </w:tcPr>
          <w:p>
            <w:r>
              <w:t>p=0,0000</w:t>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qSOFA (Singer, 2016)</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Pasien sepsis</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0,650</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3 parameter klinis</w:t>
            </w:r>
          </w:p>
        </w:tc>
      </w:tr>
      <w:tr>
        <w:tc>
          <w:tcPr>
            <w:tcW w:type="dxa" w:w="1856"/>
          </w:tcPr>
          <w:p>
            <w:pPr>
              <w:jc w:val="center"/>
              <w:spacing w:line="360" w:lineRule="auto"/>
            </w:pPr>
            <w:r>
              <w:rPr>
                <w:rFonts w:ascii="Times New Roman" w:hAnsi="Times New Roman" w:cs="Times New Roman"/>
                <w:sz w:val="24"/>
                <w:szCs w:val="24"/>
              </w:rPr>
            </w:r>
            <w:r>
              <w:rPr>
                <w:rFonts w:ascii="Times New Roman" w:hAnsi="Times New Roman" w:cs="Times New Roman"/>
                <w:sz w:val="24"/>
                <w:szCs w:val="24"/>
              </w:rPr>
              <w:t>Jentzer Score (Jentzer, 2021)</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SKG, CICU</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0,760</w:t>
            </w:r>
          </w:p>
        </w:tc>
        <w:tc>
          <w:tcPr>
            <w:tcW w:type="dxa" w:w="1856"/>
          </w:tcPr>
          <w:p>
            <w:pPr>
              <w:jc w:val="left"/>
              <w:spacing w:line="360" w:lineRule="auto"/>
            </w:pPr>
            <w:r>
              <w:rPr>
                <w:rFonts w:ascii="Times New Roman" w:hAnsi="Times New Roman" w:cs="Times New Roman"/>
                <w:sz w:val="24"/>
                <w:szCs w:val="24"/>
              </w:rPr>
            </w:r>
            <w:r>
              <w:rPr>
                <w:rFonts w:ascii="Times New Roman" w:hAnsi="Times New Roman" w:cs="Times New Roman"/>
                <w:sz w:val="24"/>
                <w:szCs w:val="24"/>
              </w:rPr>
              <w:t>Skor spesifik SKG</w:t>
            </w:r>
          </w:p>
        </w:tc>
      </w:tr>
    </w:tbl>
    <w:p>
      <w:pPr>
        <w:spacing w:lineRule="auto" w:line="360"/>
        <w:jc w:val="both"/>
      </w:pPr>
      <w:r>
        <w:rPr>
          <w:rFonts w:ascii="Times New Roman" w:hAnsi="Times New Roman" w:cs="Times New Roman"/>
          <w:b w:val="0"/>
          <w:i w:val="0"/>
          <w:sz w:val="24"/>
          <w:szCs w:val="24"/>
        </w:rPr>
      </w:r>
    </w:p>
    <w:p>
      <w:pPr>
        <w:spacing w:lineRule="auto" w:line="360"/>
        <w:ind w:firstLine="720"/>
        <w:jc w:val="both"/>
      </w:pPr>
      <w:r>
        <w:t>Model Random Forest yang dikembangkan dalam penelitian ini menunjukkan AUC 0,818, yang lebih tinggi dari GRACE Score (0,790-0,800), TIMI STEMI (0,760), dan skor klinis sederhana seperti MEWS (0,301) dan qSOFA (0,650). Keunggulan ini mencerminkan kemampuan Random Forest dalam menangkap interaksi non-linear kompleks antara 13 fitur yang digunakan, termasuk parameter ekokardiografi (LVOT VTI, TAPSE) yang tidak tercakup dalam skor risiko konvensional.</w:t>
      </w:r>
    </w:p>
    <w:p>
      <w:pPr>
        <w:spacing w:lineRule="auto" w:line="360" w:before="120" w:after="60"/>
        <w:jc w:val="left"/>
      </w:pPr>
      <w:r>
        <w:rPr>
          <w:rFonts w:ascii="Times New Roman" w:hAnsi="Times New Roman" w:cs="Times New Roman"/>
          <w:b/>
          <w:i w:val="0"/>
          <w:sz w:val="24"/>
          <w:szCs w:val="24"/>
        </w:rPr>
        <w:t>3.8 Stratifikasi Risiko Berbasis Model</w:t>
      </w:r>
    </w:p>
    <w:p>
      <w:pPr>
        <w:spacing w:lineRule="auto" w:line="360"/>
        <w:ind w:firstLine="720"/>
        <w:jc w:val="both"/>
      </w:pPr>
      <w:r>
        <w:rPr>
          <w:rFonts w:ascii="Times New Roman" w:hAnsi="Times New Roman" w:cs="Times New Roman"/>
          <w:b w:val="0"/>
          <w:i w:val="0"/>
          <w:sz w:val="24"/>
          <w:szCs w:val="24"/>
        </w:rPr>
        <w:t>Untuk memfasilitasi penggunaan klinis tanpa memerlukan kalkulasi komputer, model Random Forest diterjemahkan ke dalam stratifikasi risiko sederhana berdasarkan feature importance.</w:t>
      </w:r>
    </w:p>
    <w:p>
      <w:pPr>
        <w:spacing w:before="120" w:after="60" w:line="360" w:lineRule="auto"/>
        <w:jc w:val="center"/>
      </w:pPr>
      <w:r>
        <w:rPr>
          <w:rFonts w:ascii="Times New Roman" w:hAnsi="Times New Roman" w:cs="Times New Roman"/>
          <w:sz w:val="24"/>
          <w:szCs w:val="24"/>
        </w:rPr>
        <w:drawing>
          <wp:inline>
            <wp:extent cx="5040000" cy="3759797"/>
            <wp:docPr id="14" name="Picture 14"/>
            <wp:cNvGraphicFramePr>
              <a:graphicFrameLocks noChangeAspect="1"/>
            </wp:cNvGraphicFramePr>
            <a:graphic>
              <a:graphicData uri="http://schemas.openxmlformats.org/drawingml/2006/picture">
                <pic:pic>
                  <pic:nvPicPr>
                    <pic:cNvPr id="0" name="11_points_system.png"/>
                    <pic:cNvPicPr/>
                  </pic:nvPicPr>
                  <pic:blipFill>
                    <a:blip r:embed="rId11"/>
                    <a:stretch>
                      <a:fillRect/>
                    </a:stretch>
                  </pic:blipFill>
                  <pic:spPr>
                    <a:xfrm>
                      <a:off x="0" y="0"/>
                      <a:ext cx="5040000" cy="3759797"/>
                    </a:xfrm>
                    <a:prstGeom prst="rect"/>
                  </pic:spPr>
                </pic:pic>
              </a:graphicData>
            </a:graphic>
          </wp:inline>
        </w:drawing>
      </w:r>
    </w:p>
    <w:p>
      <w:pPr>
        <w:spacing w:lineRule="auto" w:line="360" w:before="60" w:after="120"/>
        <w:jc w:val="center"/>
      </w:pPr>
      <w:r>
        <w:rPr>
          <w:rFonts w:ascii="Times New Roman" w:hAnsi="Times New Roman" w:cs="Times New Roman"/>
          <w:b/>
          <w:sz w:val="24"/>
          <w:szCs w:val="24"/>
        </w:rPr>
        <w:t>Gambar 3.11 Stratifikasi Risiko untuk Prediksi Mortalitas Berdasarkan Model Random Forest</w:t>
      </w:r>
    </w:p>
    <w:p>
      <w:pPr>
        <w:spacing w:lineRule="auto" w:line="360"/>
        <w:ind w:firstLine="720"/>
        <w:jc w:val="both"/>
      </w:pPr>
      <w:r>
        <w:rPr>
          <w:rFonts w:ascii="Times New Roman" w:hAnsi="Times New Roman" w:cs="Times New Roman"/>
          <w:b w:val="0"/>
          <w:i w:val="0"/>
          <w:sz w:val="24"/>
          <w:szCs w:val="24"/>
        </w:rPr>
        <w:t>Sistem poin ini memungkinkan klinisi untuk menghitung skor risiko secara manual dengan menjumlahkan poin dari setiap faktor risiko yang ada pada pasien. Skor total kemudian dapat dikonversi menjadi probabilitas mortalitas menggunakan sistem stratifikasi probabilitas yang disediakan. Meskipun stratifikasi risiko tidak mencapai akurasi penuh dari model Random Forest asli, sistem ini memberikan alternatif praktis untuk lingkungan dengan akses teknologi terbatas.</w:t>
      </w:r>
    </w:p>
    <w:p>
      <w:pPr>
        <w:spacing w:line="360" w:lineRule="auto"/>
      </w:pPr>
      <w:r>
        <w:rPr>
          <w:rFonts w:ascii="Times New Roman" w:hAnsi="Times New Roman" w:cs="Times New Roman"/>
          <w:sz w:val="24"/>
          <w:szCs w:val="24"/>
        </w:rPr>
        <w:br w:type="page"/>
      </w:r>
    </w:p>
    <w:p>
      <w:pPr>
        <w:spacing w:lineRule="auto" w:line="360" w:before="240" w:after="120"/>
        <w:jc w:val="center"/>
      </w:pPr>
      <w:r>
        <w:rPr>
          <w:rFonts w:ascii="Times New Roman" w:hAnsi="Times New Roman" w:cs="Times New Roman"/>
          <w:b/>
          <w:i w:val="0"/>
          <w:sz w:val="24"/>
          <w:szCs w:val="24"/>
        </w:rPr>
        <w:t>BAB IV</w:t>
      </w:r>
    </w:p>
    <w:p>
      <w:pPr>
        <w:spacing w:lineRule="auto" w:line="360" w:before="240" w:after="120"/>
        <w:jc w:val="center"/>
      </w:pPr>
      <w:r>
        <w:rPr>
          <w:rFonts w:ascii="Times New Roman" w:hAnsi="Times New Roman" w:cs="Times New Roman"/>
          <w:b/>
          <w:i w:val="0"/>
          <w:sz w:val="24"/>
          <w:szCs w:val="24"/>
        </w:rPr>
        <w:t>PEMBAHASAN</w:t>
      </w:r>
    </w:p>
    <w:p>
      <w:pPr>
        <w:spacing w:lineRule="auto" w:line="360" w:before="120" w:after="60"/>
        <w:jc w:val="left"/>
      </w:pPr>
      <w:r>
        <w:rPr>
          <w:rFonts w:ascii="Times New Roman" w:hAnsi="Times New Roman" w:cs="Times New Roman"/>
          <w:b/>
          <w:i w:val="0"/>
          <w:sz w:val="24"/>
          <w:szCs w:val="24"/>
        </w:rPr>
        <w:t>4.1 Performa Model Random Forest dalam Prediksi Mortalitas</w:t>
      </w:r>
    </w:p>
    <w:p>
      <w:pPr>
        <w:spacing w:lineRule="auto" w:line="360"/>
        <w:ind w:firstLine="720"/>
        <w:jc w:val="both"/>
      </w:pPr>
      <w:r>
        <w:t>Penelitian ini berhasil mengembangkan model prediksi mortalitas in-hospital pada pasien STEMI dan NSTEMI menggunakan algoritma Random Forest dengan performa yang baik. AUC sebesar 0.818 (95% CI: 0.812-0.824) menunjukkan diskriminasi yang baik antara pasien yang meninggal dan selamat. Kalibrasi model juga baik dengan Brier score sebesar 0.061. Pada ambang batas Youden (0.103981), model mencapai sensitivitas 80.9% dan spesifisitas 70.6%, dengan nilai prediktif positif 18.3% dan nilai prediktif negatif 97.8%. Sementara itu, pada ambang batas keselamatan (safety threshold) sebesar 0.018455 yang dirancang untuk meminimalkan pasien yang terlewat (false negative), model mencapai sensitivitas 98.3% dengan hanya 2 pasien meninggal yang tidak terdeteksi, meskipun spesifisitas lebih rendah (19.7%).</w:t>
      </w:r>
    </w:p>
    <w:p>
      <w:pPr>
        <w:spacing w:lineRule="auto" w:line="360"/>
        <w:ind w:firstLine="720"/>
        <w:jc w:val="both"/>
      </w:pPr>
      <w:r>
        <w:rPr>
          <w:rFonts w:ascii="Times New Roman" w:hAnsi="Times New Roman" w:cs="Times New Roman"/>
          <w:b w:val="0"/>
          <w:i w:val="0"/>
          <w:sz w:val="24"/>
          <w:szCs w:val="24"/>
        </w:rPr>
        <w:t>Studi oleh Chang et al. (2022) yang mengembangkan model prediksi syok kardiogenik menggunakan machine learning pada populasi Korea melaporkan AUC 0,784 untuk model Random Forest, lebih rendah dari temuan kami. Perbedaan ini dapat disebabkan oleh perbedaan karakteristik populasi, jumlah dan jenis fitur yang digunakan, serta definisi luaran yang berbeda. Sementara itu, Jajcay et al. (2023) melaporkan AUC 0,795 untuk model gradient boosting dalam prediksi syok kardiogenik pada populasi Eropa, juga lebih rendah dari model kami.</w:t>
      </w:r>
    </w:p>
    <w:p>
      <w:pPr>
        <w:spacing w:lineRule="auto" w:line="360"/>
        <w:ind w:firstLine="720"/>
        <w:jc w:val="both"/>
      </w:pPr>
      <w:r>
        <w:rPr>
          <w:rFonts w:ascii="Times New Roman" w:hAnsi="Times New Roman" w:cs="Times New Roman"/>
          <w:b w:val="0"/>
          <w:i w:val="0"/>
          <w:sz w:val="24"/>
          <w:szCs w:val="24"/>
        </w:rPr>
        <w:t>Validasi multi-seed (10 seed berbeda) yang dilakukan dalam penelitian ini memberikan gambaran yang lebih akurat mengenai stabilitas model. Dengan standar deviasi AUC hanya 0,003 dan rentang 0,814-0,824, model menunjukkan konsistensi yang sangat baik. Hal ini penting untuk menjamin bahwa performa model tidak bergantung pada pembagian data latih-uji yang kebetulan, melainkan merefleksikan kemampuan generalisasi yang sebenarnya.</w:t>
      </w:r>
    </w:p>
    <w:p>
      <w:pPr>
        <w:spacing w:lineRule="auto" w:line="360"/>
        <w:ind w:firstLine="720"/>
        <w:jc w:val="both"/>
      </w:pPr>
      <w:r>
        <w:t>Kalibrasi model yang baik (Brier score 0.061) merupakan temuan yang penting karena seringkali model machine learning dengan diskriminasi tinggi memiliki kalibrasi yang buruk (Christodoulou et al., 2019). Kalibrasi yang baik memastikan bahwa probabilitas yang diprediksi oleh model dapat diinterpretasikan secara langsung sebagai risiko aktual, yang merupakan prasyarat untuk pengambilan keputusan klinis yang informed.</w:t>
      </w:r>
    </w:p>
    <w:p>
      <w:pPr>
        <w:spacing w:lineRule="auto" w:line="360" w:before="120" w:after="60"/>
        <w:jc w:val="left"/>
      </w:pPr>
      <w:r>
        <w:rPr>
          <w:rFonts w:ascii="Times New Roman" w:hAnsi="Times New Roman" w:cs="Times New Roman"/>
          <w:b/>
          <w:i w:val="0"/>
          <w:sz w:val="24"/>
          <w:szCs w:val="24"/>
        </w:rPr>
        <w:t>4.2 Random Forest vs XGBoost: Implikasi Pemilihan Algoritma</w:t>
      </w:r>
    </w:p>
    <w:p>
      <w:pPr>
        <w:spacing w:lineRule="auto" w:line="360"/>
        <w:ind w:firstLine="720"/>
        <w:jc w:val="both"/>
      </w:pPr>
      <w:r>
        <w:rPr>
          <w:rFonts w:ascii="Times New Roman" w:hAnsi="Times New Roman" w:cs="Times New Roman"/>
          <w:b w:val="0"/>
          <w:i w:val="0"/>
          <w:sz w:val="24"/>
          <w:szCs w:val="24"/>
        </w:rPr>
        <w:t>Dalam penelitian ini, Random Forest menunjukkan performa yang sedikit lebih baik dibandingkan XGBoost (AUC 0.818 vs 0,789). Temuan ini menarik karena XGBoost sering dianggap sebagai algoritma state-of-the-art untuk data tabular dan umumnya unggul dalam kompetisi machine learning (Chen dan Guestrin, 2016).</w:t>
      </w:r>
    </w:p>
    <w:p>
      <w:pPr>
        <w:spacing w:lineRule="auto" w:line="360"/>
        <w:ind w:firstLine="720"/>
        <w:jc w:val="both"/>
      </w:pPr>
      <w:r>
        <w:t>Beberapa faktor dapat menjelaskan keunggulan Random Forest dalam konteks ini. Pertama, ukuran dataset yang relatif moderat (n=1524 dengan 115 events) mungkin lebih sesuai untuk algoritma bagging seperti Random Forest yang memiliki varians lebih rendah. XGBoost, sebagai algoritma boosting, memiliki tendensi untuk overfitting pada dataset kecil meskipun regularisasi sudah dioptimalkan (Hastie et al., 2009). Kedua, Random Forest secara yang melekat lebih robust terhadap outlier dan noise, yang umum ditemukan dalam data rekam medis retrospektif. Ketiga, struktur pohon independen pada Random Forest menangkap interaksi fitur secara ensemble, sementara XGBoost membangun pohon secara sekuensial yang mungkin memperkuat noise.</w:t>
      </w:r>
    </w:p>
    <w:p>
      <w:pPr>
        <w:spacing w:lineRule="auto" w:line="360"/>
        <w:ind w:firstLine="720"/>
        <w:jc w:val="both"/>
      </w:pPr>
      <w:r>
        <w:rPr>
          <w:rFonts w:ascii="Times New Roman" w:hAnsi="Times New Roman" w:cs="Times New Roman"/>
          <w:b w:val="0"/>
          <w:i w:val="0"/>
          <w:sz w:val="24"/>
          <w:szCs w:val="24"/>
        </w:rPr>
        <w:t>Hal ini sejalan dengan laporan sistematik oleh Christodoulou et al. (2019) yang menunjukkan bahwa machine learning tidak selalu mengungguli regresi logistik untuk prediksi klinis, dan keunggulan relatif suatu algoritma sangat bergantung pada karakteristik dataset. Dalam konteks penelitian ini, pemilihan Random Forest sebagai model utama adalah keputusan yang tepat berdasarkan bukti empiris.</w:t>
      </w:r>
    </w:p>
    <w:p>
      <w:pPr>
        <w:spacing w:lineRule="auto" w:line="360" w:before="120" w:after="60"/>
        <w:jc w:val="left"/>
      </w:pPr>
      <w:r>
        <w:rPr>
          <w:rFonts w:ascii="Times New Roman" w:hAnsi="Times New Roman" w:cs="Times New Roman"/>
          <w:b/>
          <w:i w:val="0"/>
          <w:sz w:val="24"/>
          <w:szCs w:val="24"/>
        </w:rPr>
        <w:t>4.3 Dominasi Parameter Fungsi Ginjal sebagai Prediktor</w:t>
      </w:r>
    </w:p>
    <w:p>
      <w:pPr>
        <w:spacing w:lineRule="auto" w:line="360"/>
        <w:ind w:firstLine="720"/>
        <w:jc w:val="both"/>
      </w:pPr>
      <w:r>
        <w:rPr>
          <w:rFonts w:ascii="Times New Roman" w:hAnsi="Times New Roman" w:cs="Times New Roman"/>
          <w:b w:val="0"/>
          <w:i w:val="0"/>
          <w:sz w:val="24"/>
          <w:szCs w:val="24"/>
        </w:rPr>
        <w:t>Temuan bahwa eGFR dan ureum menempati peringkat pertama dan kedua dalam Gini importance merupakan salah satu hasil paling signifikan dalam penelitian ini. Hal ini mengonfirmasi bahwa fungsi ginjal merupakan cerminan paling sensitif dari perfusi organ sistemik pada pasien SKA. Disfungsi ginjal pada admisi dapat merefleksikan beberapa mekanisme patofisiologi: (1) hipoperfusi renal akibat penurunan curah jantung yang sudah terjadi sebelum syok manifes; (2) penyakit ginjal kronik pre-eksisting yang memperberat prognosis; dan (3) aktivasi neurohormonal yang intens (Ghionzoli et al., 2021).</w:t>
      </w:r>
    </w:p>
    <w:p>
      <w:pPr>
        <w:spacing w:lineRule="auto" w:line="360"/>
        <w:ind w:firstLine="720"/>
        <w:jc w:val="both"/>
      </w:pPr>
      <w:r>
        <w:rPr>
          <w:rFonts w:ascii="Times New Roman" w:hAnsi="Times New Roman" w:cs="Times New Roman"/>
          <w:b w:val="0"/>
          <w:i w:val="0"/>
          <w:sz w:val="24"/>
          <w:szCs w:val="24"/>
        </w:rPr>
        <w:t>Temuan ini konsisten dengan literatur yang menempatkan fungsi ginjal sebagai prediktor kuat mortalitas pada SKA. Dalam studi GRACE (Granger, 2003), kreatinin serum merupakan salah satu prediktor independen terkuat. Namun, penelitian kami menunjukkan bahwa eGFR (yang memperhitungkan usia, jenis kelamin, dan ras) memberikan informasi prognostik yang lebih granular dibandingkan kreatinin saja. Ureum, yang sering dianggap sebagai penanda yang lebih sensitif untuk hipoperfusi prerenal, juga muncul sebagai fitur yang sangat penting, melengkapi informasi dari eGFR.</w:t>
      </w:r>
    </w:p>
    <w:p>
      <w:pPr>
        <w:spacing w:lineRule="auto" w:line="360"/>
        <w:ind w:firstLine="720"/>
        <w:jc w:val="both"/>
      </w:pPr>
      <w:r>
        <w:rPr>
          <w:rFonts w:ascii="Times New Roman" w:hAnsi="Times New Roman" w:cs="Times New Roman"/>
          <w:b w:val="0"/>
          <w:i w:val="0"/>
          <w:sz w:val="24"/>
          <w:szCs w:val="24"/>
        </w:rPr>
        <w:t>LVOT VTI sebagai fitur terpenting ketiga menunjukkan bahwa penilaian curah jantung secara langsung melalui ekokardiografi memberikan informasi prognostik yang unik dan tidak dapat digantikan oleh parameter klinis atau laboratorium. LVOT VTI mencerminkan volume sekuncup ventrikel kiri dan merupakan parameter hemodinamik yang lebih langsung dibandingkan LVEF, karena LVEF dipengaruhi oleh preload, afterload, dan kontraktilitas. Temuan ini mendukung rekomendasi untuk melakukan ekokardiografi dini pada pasien SKA di IGD, tidak hanya untuk menilai LVEF tetapi juga untuk mengukur LVOT VTI.</w:t>
      </w:r>
    </w:p>
    <w:p>
      <w:pPr>
        <w:spacing w:lineRule="auto" w:line="360" w:before="120" w:after="60"/>
        <w:jc w:val="left"/>
      </w:pPr>
      <w:r>
        <w:rPr>
          <w:rFonts w:ascii="Times New Roman" w:hAnsi="Times New Roman" w:cs="Times New Roman"/>
          <w:b/>
          <w:i w:val="0"/>
          <w:sz w:val="24"/>
          <w:szCs w:val="24"/>
        </w:rPr>
        <w:t>4.4 Implikasi Klinis Sistem Triase Bertingkat</w:t>
      </w:r>
    </w:p>
    <w:p>
      <w:pPr>
        <w:spacing w:lineRule="auto" w:line="360"/>
        <w:ind w:firstLine="720"/>
        <w:jc w:val="both"/>
      </w:pPr>
      <w:r>
        <w:rPr>
          <w:rFonts w:ascii="Times New Roman" w:hAnsi="Times New Roman" w:cs="Times New Roman"/>
          <w:b w:val="0"/>
          <w:i w:val="0"/>
          <w:sz w:val="24"/>
          <w:szCs w:val="24"/>
        </w:rPr>
        <w:t>Sistem triase bertingkat yang dikembangkan dalam penelitian ini memiliki implikasi klinis yang langsung dan praktis. Dengan tiga kategori risiko (rendah, sedang, tinggi), sistem ini memungkinkan alokasi sumber daya yang efisien di IGD dan ruang rawat inap.</w:t>
      </w:r>
    </w:p>
    <w:p>
      <w:pPr>
        <w:spacing w:lineRule="auto" w:line="360"/>
        <w:ind w:firstLine="720"/>
        <w:jc w:val="both"/>
      </w:pPr>
      <w:r>
        <w:t>Kelompok risiko rendah (ward) dengan probabilitas prediksi kurang dari ambang safety (&lt; 0,018455) terdiri dari 371 pasien (24,3% dari total populasi) dengan mortalitas 0,7% (2 dari 371 pasien). Kelompok ini memiliki risiko sangat rendah sehingga aman untuk ditatalaksana di rawat inap lantai dasar dengan monitoring rutin.</w:t>
      </w:r>
    </w:p>
    <w:p>
      <w:pPr>
        <w:spacing w:lineRule="auto" w:line="360"/>
        <w:ind w:firstLine="720"/>
        <w:jc w:val="both"/>
      </w:pPr>
      <w:r>
        <w:t>Kelompok risiko sedang (HCU) dengan probabilitas 0,018455–0,103981 mencakup 817 pasien (48,4% populasi) dengan mortalitas 3,8% (31 dari 115 kematian). Kelompok ini memerlukan monitoring yang lebih ketat dibandingkan pasien ward namun tidak memerlukan sumber daya intensif setingkat ICU. Sebaliknya, kelompok risiko tinggi dengan probabilitas prediksi ≥0,103981 mencakup 336 pasien (33,3% dari populasi) namun menyumbang 80,9% dari seluruh kejadian mortalitas (93 dari 115 kematian). Mortalitas pada kelompok ini mencapai 18,3%, lebih dari dua puluh kali lipat kelompok risiko rendah.</w:t>
      </w:r>
    </w:p>
    <w:p>
      <w:pPr>
        <w:spacing w:lineRule="auto" w:line="360"/>
        <w:ind w:firstLine="720"/>
        <w:jc w:val="both"/>
      </w:pPr>
      <w:r>
        <w:rPr>
          <w:rFonts w:ascii="Times New Roman" w:hAnsi="Times New Roman" w:cs="Times New Roman"/>
          <w:b w:val="0"/>
          <w:i w:val="0"/>
          <w:sz w:val="24"/>
          <w:szCs w:val="24"/>
        </w:rPr>
      </w:r>
    </w:p>
    <w:p>
      <w:pPr>
        <w:spacing w:lineRule="auto" w:line="360" w:before="120" w:after="60"/>
        <w:jc w:val="left"/>
      </w:pPr>
      <w:r>
        <w:rPr>
          <w:rFonts w:ascii="Times New Roman" w:hAnsi="Times New Roman" w:cs="Times New Roman"/>
          <w:b/>
          <w:i w:val="0"/>
          <w:sz w:val="24"/>
          <w:szCs w:val="24"/>
        </w:rPr>
        <w:t>4.5 Perbandingan dengan Studi Validasi GRACE di Asia dan Indonesia</w:t>
      </w:r>
    </w:p>
    <w:p>
      <w:pPr>
        <w:spacing w:lineRule="auto" w:line="360"/>
        <w:ind w:firstLine="720"/>
        <w:jc w:val="both"/>
      </w:pPr>
      <w:r>
        <w:rPr>
          <w:rFonts w:ascii="Times New Roman" w:hAnsi="Times New Roman" w:cs="Times New Roman"/>
          <w:b w:val="0"/>
          <w:i w:val="0"/>
          <w:sz w:val="24"/>
          <w:szCs w:val="24"/>
        </w:rPr>
        <w:t>Beberapa studi telah memvalidasi skor GRACE pada populasi Asia dan Indonesia. Sebuah studi di Tiongkok oleh Zhao et al. (2019) melaporkan AUC 0,760 untuk GRACE dalam prediksi mortalitas in-hospital pada pasien STEMI, lebih rendah dari model Random Forest kami (0,818). Studi lain di India oleh Rao et al. (2020) melaporkan AUC 0,771 untuk GRACE pada populasi SKA.</w:t>
      </w:r>
    </w:p>
    <w:p>
      <w:pPr>
        <w:spacing w:lineRule="auto" w:line="360"/>
        <w:ind w:firstLine="720"/>
        <w:jc w:val="both"/>
      </w:pPr>
      <w:r>
        <w:rPr>
          <w:rFonts w:ascii="Times New Roman" w:hAnsi="Times New Roman" w:cs="Times New Roman"/>
          <w:b w:val="0"/>
          <w:i w:val="0"/>
          <w:sz w:val="24"/>
          <w:szCs w:val="24"/>
        </w:rPr>
        <w:t>Di Indonesia, penelitian oleh Pandey dan Winata (2021) di RS Jantung Jakarta melaporkan AUC GRACE 0,745 untuk mortalitas 30 hari pada pasien STEMI. Temuan ini menunjukkan bahwa meskipun GRACE telah divalidasi secara luas, akurasinya pada populasi Asia Tenggara dan Indonesia cenderung lebih rendah dibandingkan populasi asal pengembangan skor tersebut (Eropa dan Amerika Utara). Hal ini menekankan pentingnya mengembangkan model prediksi yang spesifik untuk populasi lokal.</w:t>
      </w:r>
    </w:p>
    <w:p>
      <w:r>
        <w:rPr>
          <w:sz w:val="22"/>
        </w:rPr>
        <w:t>Untuk menguji performa model secara lebih ketat, skor GRACE 2.0 dihitung pada seluruh 1.524 pasien berdasarkan parameter yang tersedia saat admisi: usia, tekanan darah sistolik, denyut nadi, kreatinin, klasifikasi Killip, elevasi segmen ST, dan henti jantung saat admisi. AUC kemudian dibandingkan antara GRACE 2.0 dan probabilitas prediksi model Random Forest pada populasi yang sama.</w:t>
      </w:r>
    </w:p>
    <w:p>
      <w:r>
        <w:t>AUC GRACE 2.0 adalah 0,777, lebih rendah dari AUC model Random Forest (0,818). Pada ambang GRACE ≥160 (setara dengan prediksi mortalitas sekitar 20%), GRACE mengidentifikasi 317 pasien (20,8% populasi) sebagai risiko tinggi dengan sensitivitas 57,4% (66 dari 115 kematian terdeteksi) dan spesifisitas 82,2%. Model Random Forest pada ambang Youden (0,103981) mengidentifikasi 446 pasien (29,3% populasi) dengan sensitivitas 77,4% (89 dari 115 kematian) dan spesifisitas 74,7%. GRACE ≥160 memang memiliki spesifisitas lebih tinggi, tetapi model Random Forest mendeteksi 23 kematian tambahan dengan konsekuensi 129 pasien flagged tambahan.</w:t>
      </w:r>
    </w:p>
    <w:p>
      <w:r>
        <w:rPr>
          <w:sz w:val="22"/>
        </w:rPr>
      </w:r>
    </w:p>
    <w:p>
      <w:pPr>
        <w:spacing w:lineRule="auto" w:line="360"/>
        <w:ind w:firstLine="720"/>
        <w:jc w:val="both"/>
      </w:pPr>
      <w:r>
        <w:rPr>
          <w:rFonts w:ascii="Times New Roman" w:hAnsi="Times New Roman" w:cs="Times New Roman"/>
          <w:b w:val="0"/>
          <w:i w:val="0"/>
          <w:sz w:val="24"/>
          <w:szCs w:val="24"/>
        </w:rPr>
        <w:t>Model Random Forest kami, yang dikembangkan secara spesifik pada populasi Indonesia Timur, menunjukkan AUC yang lebih tinggi dibandingkan GRACE pada studi-studi di atas. Model kami memang menggunakan 13 fitur yang lebih banyak dibandingkan 8 variabel GRACE, termasuk parameter ekokardiografi (LVOT VTI, TAPSE) yang tidak tersedia di semua fasilitas kesehatan.</w:t>
      </w:r>
    </w:p>
    <w:p>
      <w:pPr>
        <w:spacing w:lineRule="auto" w:line="360" w:before="120" w:after="60"/>
        <w:jc w:val="left"/>
      </w:pPr>
      <w:r>
        <w:rPr>
          <w:rFonts w:ascii="Times New Roman" w:hAnsi="Times New Roman" w:cs="Times New Roman"/>
          <w:b/>
          <w:i w:val="0"/>
          <w:sz w:val="24"/>
          <w:szCs w:val="24"/>
        </w:rPr>
        <w:t>4.6 Perbandingan dengan Studi Machine Learning Lainnya</w:t>
      </w:r>
    </w:p>
    <w:p>
      <w:pPr>
        <w:spacing w:lineRule="auto" w:line="360"/>
        <w:ind w:firstLine="720"/>
        <w:jc w:val="both"/>
      </w:pPr>
      <w:r>
        <w:rPr>
          <w:rFonts w:ascii="Times New Roman" w:hAnsi="Times New Roman" w:cs="Times New Roman"/>
          <w:b w:val="0"/>
          <w:i w:val="0"/>
          <w:sz w:val="24"/>
          <w:szCs w:val="24"/>
        </w:rPr>
        <w:t>Beberapa studi terbaru juga mengembangkan model prediksi berbasis machine learning untuk luaran pasien SKA. Rahman et al. (2022) mengembangkan model untuk prediksi syok kardiogenik pada pasien gagal jantung akut dan melaporkan AUC 0,770 untuk XGBoost. Studi tersebut hanya menggunakan variabel klinis dan laboratorium tanpa parameter ekokardiografi.</w:t>
      </w:r>
    </w:p>
    <w:p>
      <w:pPr>
        <w:spacing w:lineRule="auto" w:line="360"/>
        <w:ind w:firstLine="720"/>
        <w:jc w:val="both"/>
      </w:pPr>
      <w:r>
        <w:rPr>
          <w:rFonts w:ascii="Times New Roman" w:hAnsi="Times New Roman" w:cs="Times New Roman"/>
          <w:b w:val="0"/>
          <w:i w:val="0"/>
          <w:sz w:val="24"/>
          <w:szCs w:val="24"/>
        </w:rPr>
        <w:t>Penelitian oleh Kwon et al. (2021) di Korea menggunakan deep learning untuk prediksi mortalitas pada pasien SKA dan melaporkan AUC 0,810, yang sebanding dengan model Random Forest kami. Namun, model deep learning memerlukan data dalam jumlah besar dan sumber daya komputasi yang signifikan, serta kurang interpretabel dibandingkan Random Forest.</w:t>
      </w:r>
    </w:p>
    <w:p>
      <w:pPr>
        <w:spacing w:lineRule="auto" w:line="360"/>
        <w:ind w:firstLine="720"/>
        <w:jc w:val="both"/>
      </w:pPr>
      <w:r>
        <w:rPr>
          <w:rFonts w:ascii="Times New Roman" w:hAnsi="Times New Roman" w:cs="Times New Roman"/>
          <w:b w:val="0"/>
          <w:i w:val="0"/>
          <w:sz w:val="24"/>
          <w:szCs w:val="24"/>
        </w:rPr>
        <w:t>Keunggulan model kami terletak pada beberapa aspek: (1) penggunaan data yang tersedia secara rutin dalam 24 jam pertama admisi, sehingga aplikatif di IGD; (2) interpretabilitas yang baik melalui feature importance; (3) kalibrasi yang tervalidasi; dan (4) sistem triase bertingkat yang siap pakai untuk stratifikasi risiko. Namun, validasi eksternal pada populasi yang berbeda masih diperlukan sebelum implementasi klinis yang luas.</w:t>
      </w:r>
    </w:p>
    <w:p>
      <w:pPr>
        <w:spacing w:lineRule="auto" w:line="360" w:before="120" w:after="60"/>
        <w:jc w:val="left"/>
      </w:pPr>
      <w:r>
        <w:rPr>
          <w:rFonts w:ascii="Times New Roman" w:hAnsi="Times New Roman" w:cs="Times New Roman"/>
          <w:b/>
          <w:i w:val="0"/>
          <w:sz w:val="24"/>
          <w:szCs w:val="24"/>
        </w:rPr>
        <w:t>4.7 Keterbatasan Prediksi Syok Kardiogenik</w:t>
      </w:r>
    </w:p>
    <w:p>
      <w:pPr>
        <w:spacing w:lineRule="auto" w:line="360"/>
        <w:ind w:firstLine="720"/>
        <w:jc w:val="both"/>
      </w:pPr>
      <w:r>
        <w:rPr>
          <w:rFonts w:ascii="Times New Roman" w:hAnsi="Times New Roman" w:cs="Times New Roman"/>
          <w:b w:val="0"/>
          <w:i w:val="0"/>
          <w:sz w:val="24"/>
          <w:szCs w:val="24"/>
        </w:rPr>
        <w:t>Performa model untuk luaran syok kardiogenik baru (AUC 0,670) lebih rendah dibandingkan mortalitas (AUC 0,818). Beberapa faktor dapat menjelaskan keterbatasan ini. Pertama, definisi dan pencatatan SKG dalam rekam medis mungkin tidak seragam, mengingat sifat retrospektif penelitian ini. Kedua, terdapat kemungkinan bahwa sebagian pasien yang diklasifikasikan sebagai SKG baru sebenarnya sudah dalam fase awal SKG saat admisi namun belum terdokumentasi secara lengkap. Ketiga, jumlah kejadian SKG yang lebih kecil (sekitar 4,8%) membatasi kekuatan statistik untuk mendeteksi pola prediktif yang konsisten.</w:t>
      </w:r>
    </w:p>
    <w:p>
      <w:pPr>
        <w:spacing w:lineRule="auto" w:line="360"/>
        <w:ind w:firstLine="720"/>
        <w:jc w:val="both"/>
      </w:pPr>
      <w:r>
        <w:t>Selain itu, prediksi SKG secara mendasar lebih sulit dibandingkan mortalitas karena SKG merupakan luaran yang bersifat dinamis dan dipengaruhi oleh intervensi medis yang diberikan. Seorang pasien yang menerima revaskularisasi cepat mungkin tidak mengalami SKG meskipun profil risikonya tinggi, sementara pasien lain dengan risiko lebih rendah dapat mengalami SKG jika terjadi komplikasi prosedural atau keterlambatan tatalaksana. Faktor time-varying confounding ini sulit dimodelkan secara memadai dalam desain prediksi statis (fixed-time prediction).</w:t>
      </w:r>
    </w:p>
    <w:p>
      <w:pPr>
        <w:spacing w:lineRule="auto" w:line="360" w:before="120" w:after="60"/>
        <w:jc w:val="left"/>
      </w:pPr>
      <w:r>
        <w:rPr>
          <w:rFonts w:ascii="Times New Roman" w:hAnsi="Times New Roman" w:cs="Times New Roman"/>
          <w:b/>
          <w:i w:val="0"/>
          <w:sz w:val="24"/>
          <w:szCs w:val="24"/>
        </w:rPr>
        <w:t>4.8 Perbandingan Luaran Komposit</w:t>
      </w:r>
    </w:p>
    <w:p>
      <w:pPr>
        <w:spacing w:lineRule="auto" w:line="360"/>
        <w:ind w:firstLine="720"/>
        <w:jc w:val="both"/>
      </w:pPr>
      <w:r>
        <w:rPr>
          <w:rFonts w:ascii="Times New Roman" w:hAnsi="Times New Roman" w:cs="Times New Roman"/>
          <w:b w:val="0"/>
          <w:i w:val="0"/>
          <w:sz w:val="24"/>
          <w:szCs w:val="24"/>
        </w:rPr>
        <w:t>Luaran komposit (mortalitas dan/atau SKG) menunjukkan AUC 0,750, yang berada di antara performa untuk mortalitas (0,818) dan SKG (0,670). Hal ini mencerminkan bahwa luaran komposit menggabungkan dua entitas dengan karakteristik prediktif yang berbeda. Mortalitas yang lebih mudah diprediksi meningkatkan AUC komposit, sementara SKG yang lebih sulit diprediksi menurunkannya.</w:t>
      </w:r>
    </w:p>
    <w:p>
      <w:pPr>
        <w:spacing w:lineRule="auto" w:line="360"/>
        <w:ind w:firstLine="720"/>
        <w:jc w:val="both"/>
      </w:pPr>
      <w:r>
        <w:rPr>
          <w:rFonts w:ascii="Times New Roman" w:hAnsi="Times New Roman" w:cs="Times New Roman"/>
          <w:b w:val="0"/>
          <w:i w:val="0"/>
          <w:sz w:val="24"/>
          <w:szCs w:val="24"/>
        </w:rPr>
        <w:t>Dari perspektif klinis, penggunaan luaran komposit dalam penelitian prediksi memiliki kelebihan dan kekurangan. Kelebihannya adalah meningkatkan jumlah events dan kekuatan statistik. Kekurangannya adalah interpretasi klinis yang lebih kompleks, karena komponen komposit mungkin memiliki implikasi tatalaksana yang berbeda. Dalam konteks IGD, prediksi mortalitas mungkin lebih relevan secara klinis karena membutuhkan tindakan yang lebih segera dan agresif dibandingkan prediksi SKG saja.</w:t>
      </w:r>
    </w:p>
    <w:p>
      <w:pPr>
        <w:spacing w:lineRule="auto" w:line="360" w:before="120" w:after="60"/>
        <w:jc w:val="left"/>
      </w:pPr>
      <w:r>
        <w:rPr>
          <w:rFonts w:ascii="Times New Roman" w:hAnsi="Times New Roman" w:cs="Times New Roman"/>
          <w:b/>
          <w:i w:val="0"/>
          <w:sz w:val="24"/>
          <w:szCs w:val="24"/>
        </w:rPr>
        <w:t>4.9 Implikasi terhadap Praktik Klinis</w:t>
      </w:r>
    </w:p>
    <w:p>
      <w:pPr>
        <w:spacing w:lineRule="auto" w:line="360"/>
        <w:ind w:firstLine="720"/>
        <w:jc w:val="both"/>
      </w:pPr>
      <w:r>
        <w:rPr>
          <w:rFonts w:ascii="Times New Roman" w:hAnsi="Times New Roman" w:cs="Times New Roman"/>
          <w:b w:val="0"/>
          <w:i w:val="0"/>
          <w:sz w:val="24"/>
          <w:szCs w:val="24"/>
        </w:rPr>
        <w:t>Model prediksi yang dikembangkan dalam penelitian ini memiliki potensi untuk diintegrasikan ke dalam alur kerja klinis di IGD sebagai alat bantu keputusan (clinical decision support system). Beberapa skenario penggunaan yang dapat dipertimbangkan:</w:t>
      </w:r>
    </w:p>
    <w:p>
      <w:pPr>
        <w:spacing w:lineRule="auto" w:line="360"/>
        <w:ind w:firstLine="720"/>
        <w:jc w:val="both"/>
      </w:pPr>
      <w:r>
        <w:rPr>
          <w:rFonts w:ascii="Times New Roman" w:hAnsi="Times New Roman" w:cs="Times New Roman"/>
          <w:b w:val="0"/>
          <w:i w:val="0"/>
          <w:sz w:val="24"/>
          <w:szCs w:val="24"/>
        </w:rPr>
        <w:t>Pertama, pada saat triase awal di IGD, model dapat digunakan untuk stratifikasi risiko cepat berdasarkan data yang tersedia dalam 30-60 menit pertama, termasuk hasil laboratorium awal dan ekokardiografi portabel (point-of-care ultrasound/POCUS). Hasil stratifikasi ini dapat memandu keputusan mengenai tingkat perawatan yang diperlukan (bangsal biasa, ruang rawat intensif, atau ICU).</w:t>
      </w:r>
    </w:p>
    <w:p>
      <w:pPr>
        <w:spacing w:lineRule="auto" w:line="360"/>
        <w:ind w:firstLine="720"/>
        <w:jc w:val="both"/>
      </w:pPr>
      <w:r>
        <w:rPr>
          <w:rFonts w:ascii="Times New Roman" w:hAnsi="Times New Roman" w:cs="Times New Roman"/>
          <w:b w:val="0"/>
          <w:i w:val="0"/>
          <w:sz w:val="24"/>
          <w:szCs w:val="24"/>
        </w:rPr>
        <w:t>Kedua, stratifikasi risiko yang dikembangkan (Gambar 3.11) memberikan alternatif manual yang tidak memerlukan perangkat komputer. Sistem ini dapat dicetak atau dipasang di ruang triase IGD untuk referensi cepat. Meskipun akurasinya lebih rendah dari model penuh, stratifikasi risiko tetap memberikan AUC yang lebih baik dibandingkan skor konvensional seperti GRACE.</w:t>
      </w:r>
    </w:p>
    <w:p>
      <w:pPr>
        <w:spacing w:lineRule="auto" w:line="360"/>
        <w:ind w:firstLine="720"/>
        <w:jc w:val="both"/>
      </w:pPr>
      <w:r>
        <w:rPr>
          <w:rFonts w:ascii="Times New Roman" w:hAnsi="Times New Roman" w:cs="Times New Roman"/>
          <w:b w:val="0"/>
          <w:i w:val="0"/>
          <w:sz w:val="24"/>
          <w:szCs w:val="24"/>
        </w:rPr>
        <w:t>Ketiga, integrasi model ke dalam sistem rekam medis elektronik dapat memberikan peringatan otomatis (automated alert) ketika seorang pasien teridentifikasi sebagai risiko tinggi. Sistem peringatan dini semacam ini telah terbukti meningkatkan kepatuhan klinisi terhadap protokol tatalaksana dan mempercepat waktu intervensi pada pasien sepsis dan SKA (Rajkomar et al., 2019).</w:t>
      </w:r>
    </w:p>
    <w:p>
      <w:pPr>
        <w:spacing w:lineRule="auto" w:line="360" w:before="120" w:after="60"/>
        <w:jc w:val="left"/>
      </w:pPr>
      <w:r>
        <w:rPr>
          <w:rFonts w:ascii="Times New Roman" w:hAnsi="Times New Roman" w:cs="Times New Roman"/>
          <w:b/>
          <w:i w:val="0"/>
          <w:sz w:val="24"/>
          <w:szCs w:val="24"/>
        </w:rPr>
        <w:t>4.10 Keterbatasan Penelitian</w:t>
      </w:r>
    </w:p>
    <w:p>
      <w:pPr>
        <w:spacing w:lineRule="auto" w:line="360"/>
        <w:ind w:firstLine="720"/>
        <w:jc w:val="both"/>
      </w:pPr>
      <w:r>
        <w:rPr>
          <w:rFonts w:ascii="Times New Roman" w:hAnsi="Times New Roman" w:cs="Times New Roman"/>
          <w:b w:val="0"/>
          <w:i w:val="0"/>
          <w:sz w:val="24"/>
          <w:szCs w:val="24"/>
        </w:rPr>
        <w:t>Penelitian ini memiliki beberapa keterbatasan yang perlu diakui:</w:t>
      </w:r>
    </w:p>
    <w:p>
      <w:pPr>
        <w:spacing w:lineRule="auto" w:line="360"/>
        <w:ind w:firstLine="720"/>
        <w:jc w:val="both"/>
      </w:pPr>
      <w:r>
        <w:rPr>
          <w:rFonts w:ascii="Times New Roman" w:hAnsi="Times New Roman" w:cs="Times New Roman"/>
          <w:b w:val="0"/>
          <w:i w:val="0"/>
          <w:sz w:val="24"/>
          <w:szCs w:val="24"/>
        </w:rPr>
        <w:t>1. Desain retrospektif dan single-center. Data berasal dari satu pusat jantung di Indonesia Timur, sehingga generalisabilitas ke populasi lain atau fasilitas kesehatan lain perlu divalidasi secara eksternal. Karakteristik pasien dan pola praktik klinis di PJT RSUP Dr. Wahidin Sudirohusodo mungkin tidak sepenuhnya mewakili fasilitas kesehatan di daerah lain.</w:t>
      </w:r>
    </w:p>
    <w:p>
      <w:pPr>
        <w:spacing w:lineRule="auto" w:line="360"/>
        <w:ind w:firstLine="720"/>
        <w:jc w:val="both"/>
      </w:pPr>
      <w:r>
        <w:rPr>
          <w:rFonts w:ascii="Times New Roman" w:hAnsi="Times New Roman" w:cs="Times New Roman"/>
          <w:b w:val="0"/>
          <w:i w:val="0"/>
          <w:sz w:val="24"/>
          <w:szCs w:val="24"/>
        </w:rPr>
        <w:t>2. Ukuran sampel yang moderat (n=1524) dengan jumlah events yang terbatas (115 mortalitas). Meskipun memadai untuk pengembangan model dengan 13 fitur (10 events per variable), jumlah events yang lebih besar akan meningkatkan presisi estimasi dan memungkinkan pengembangan model yang lebih kompleks.</w:t>
      </w:r>
    </w:p>
    <w:p>
      <w:pPr>
        <w:spacing w:lineRule="auto" w:line="360"/>
        <w:ind w:firstLine="720"/>
        <w:jc w:val="both"/>
      </w:pPr>
      <w:r>
        <w:rPr>
          <w:rFonts w:ascii="Times New Roman" w:hAnsi="Times New Roman" w:cs="Times New Roman"/>
          <w:b w:val="0"/>
          <w:i w:val="0"/>
          <w:sz w:val="24"/>
          <w:szCs w:val="24"/>
        </w:rPr>
        <w:t>3. Data hilang (missing data) pada beberapa variabel. Meskipun teknik imputasi telah digunakan, data hilang tetap dapat menimbulkan bias, terutama jika mekanisme missing data tidak completely at random (MCAR). Variabel dengan missingness tinggi seperti TAPSE dan LVOT VTI (yang bergantung pada ketersediaan ekokardiografi) mungkin tidak tersedia di semua fasilitas.</w:t>
      </w:r>
    </w:p>
    <w:p>
      <w:pPr>
        <w:spacing w:lineRule="auto" w:line="360"/>
        <w:ind w:firstLine="720"/>
        <w:jc w:val="both"/>
      </w:pPr>
      <w:r>
        <w:rPr>
          <w:rFonts w:ascii="Times New Roman" w:hAnsi="Times New Roman" w:cs="Times New Roman"/>
          <w:b w:val="0"/>
          <w:i w:val="0"/>
          <w:sz w:val="24"/>
          <w:szCs w:val="24"/>
        </w:rPr>
        <w:t>4. Tidak dilakukan validasi eksternal. Model yang dikembangkan hanya divalidasi secara internal menggunakan data uji dan validasi silang. Validasi eksternal pada kohort yang independen, idealnya dari pusat kesehatan yang berbeda dan periode waktu yang berbeda, diperlukan untuk mengonfirmasi generalisabilitas model.</w:t>
      </w:r>
    </w:p>
    <w:p>
      <w:pPr>
        <w:spacing w:lineRule="auto" w:line="360"/>
        <w:ind w:firstLine="720"/>
        <w:jc w:val="both"/>
      </w:pPr>
      <w:r>
        <w:rPr>
          <w:rFonts w:ascii="Times New Roman" w:hAnsi="Times New Roman" w:cs="Times New Roman"/>
          <w:b w:val="0"/>
          <w:i w:val="0"/>
          <w:sz w:val="24"/>
          <w:szCs w:val="24"/>
        </w:rPr>
        <w:t>5. Prediksi statis pada satu waktu. Model hanya menggunakan data dari 24 jam pertama admisi dan tidak memperhitungkan perubahan status klinis pasien selama perawatan. Prediksi dinamis dengan pembaruan risiko secara serial (time-updated prediction) berpotensi memberikan akurasi yang lebih baik.</w:t>
      </w:r>
    </w:p>
    <w:p>
      <w:pPr>
        <w:spacing w:lineRule="auto" w:line="360"/>
        <w:ind w:firstLine="720"/>
        <w:jc w:val="both"/>
      </w:pPr>
      <w:r>
        <w:rPr>
          <w:rFonts w:ascii="Times New Roman" w:hAnsi="Times New Roman" w:cs="Times New Roman"/>
          <w:b w:val="0"/>
          <w:i w:val="0"/>
          <w:sz w:val="24"/>
          <w:szCs w:val="24"/>
        </w:rPr>
        <w:t>6. Variabel yang tidak tercatat. Beberapa prediktor potensial yang dilaporkan dalam literatur, seperti kadar laktat, pH darah, laktat dehidrogenase (LDH), dan biomarker inflamasi spesifik (IL-6, prokalsitonin), tidak tersedia secara rutin dan tidak dapat disertakan dalam model.</w:t>
      </w:r>
    </w:p>
    <w:p>
      <w:pPr>
        <w:spacing w:lineRule="auto" w:line="360"/>
        <w:ind w:firstLine="720"/>
        <w:jc w:val="both"/>
      </w:pPr>
      <w:r>
        <w:rPr>
          <w:rFonts w:ascii="Times New Roman" w:hAnsi="Times New Roman" w:cs="Times New Roman"/>
          <w:b w:val="0"/>
          <w:i w:val="0"/>
          <w:sz w:val="24"/>
          <w:szCs w:val="24"/>
        </w:rPr>
        <w:t>7. Definisi luaran SKG yang bersifat retrospektif. Diagnosis SKG ditegakkan berdasarkan dokumentasi rekam medis, yang mungkin tidak seragam antar dokter dan dapat dipengaruhi oleh variasi praktik klinis.</w:t>
      </w:r>
    </w:p>
    <w:p>
      <w:pPr>
        <w:spacing w:lineRule="auto" w:line="360"/>
        <w:ind w:firstLine="720"/>
        <w:jc w:val="both"/>
      </w:pPr>
      <w:r>
        <w:rPr>
          <w:rFonts w:ascii="Times New Roman" w:hAnsi="Times New Roman" w:cs="Times New Roman"/>
          <w:b w:val="0"/>
          <w:i w:val="0"/>
          <w:sz w:val="24"/>
          <w:szCs w:val="24"/>
        </w:rPr>
        <w:t>8. Effect of treatment paradox. Pasien yang diidentifikasi sebagai risiko tinggi mungkin menerima tatalaksana yang lebih agresif, yang dapat mengubah luaran aktual dan menciptakan bias yang dikenal sebagai treatment paradox. Fenomena ini umum dalam studi prediksi prognosis dan sulit diatasi dalam desain observasional.</w:t>
      </w:r>
    </w:p>
    <w:p>
      <w:pPr>
        <w:spacing w:lineRule="auto" w:line="360"/>
        <w:ind w:firstLine="720"/>
        <w:jc w:val="both"/>
      </w:pPr>
      <w:r>
        <w:rPr>
          <w:rFonts w:ascii="Times New Roman" w:hAnsi="Times New Roman" w:cs="Times New Roman"/>
          <w:b w:val="0"/>
          <w:i w:val="0"/>
          <w:sz w:val="24"/>
          <w:szCs w:val="24"/>
        </w:rPr>
        <w:t>9. Ketidakseimbangan kelas (class imbalance). Proporsi mortalitas 7,5% menyebabkan dataset tidak seimbang, yang dapat mempengaruhi performa model, terutama pada metrik seperti precision. Meskipun AUPRC digunakan untuk mengatasi hal ini, ketidakseimbangan kelas tetap menjadi tantangan.</w:t>
      </w:r>
    </w:p>
    <w:p>
      <w:pPr>
        <w:spacing w:lineRule="auto" w:line="360"/>
        <w:ind w:firstLine="720"/>
        <w:jc w:val="both"/>
      </w:pPr>
      <w:r>
        <w:rPr>
          <w:rFonts w:ascii="Times New Roman" w:hAnsi="Times New Roman" w:cs="Times New Roman"/>
          <w:b w:val="0"/>
          <w:i w:val="0"/>
          <w:sz w:val="24"/>
          <w:szCs w:val="24"/>
        </w:rPr>
        <w:t>10. Interpretabilitas model. Meskipun Random Forest lebih interpretabel dibandingkan deep learning, model ensemble dari 500 pohon tetap sulit dijelaskan secara individual. Analisis feature importance dan SHAP membantu interpretasi, namun tidak memberikan pemahaman kausal mengenai mekanisme prediksi.</w:t>
      </w:r>
    </w:p>
    <w:p>
      <w:pPr>
        <w:spacing w:lineRule="auto" w:line="360" w:before="120" w:after="60"/>
        <w:jc w:val="left"/>
      </w:pPr>
      <w:r>
        <w:rPr>
          <w:rFonts w:ascii="Times New Roman" w:hAnsi="Times New Roman" w:cs="Times New Roman"/>
          <w:b/>
          <w:i w:val="0"/>
          <w:sz w:val="24"/>
          <w:szCs w:val="24"/>
        </w:rPr>
        <w:t>4.11 Kepatuhan terhadap Pedoman TRIPOD+AI</w:t>
      </w:r>
    </w:p>
    <w:p>
      <w:pPr>
        <w:spacing w:lineRule="auto" w:line="360"/>
        <w:ind w:firstLine="720"/>
        <w:jc w:val="both"/>
      </w:pPr>
      <w:r>
        <w:rPr>
          <w:rFonts w:ascii="Times New Roman" w:hAnsi="Times New Roman" w:cs="Times New Roman"/>
          <w:b w:val="0"/>
          <w:i w:val="0"/>
          <w:sz w:val="24"/>
          <w:szCs w:val="24"/>
        </w:rPr>
        <w:t>Penelitian ini dikembangkan dengan mengacu pada TRIPOD+AI (Transparent Reporting of a multivariable prediction model for Individual Prognosis Or Diagnosis + Artificial Intelligence) statement, yang merupakan pedoman pelaporan terbaru untuk studi prediksi berbasis AI (Collins et al., 2024). Beberapa aspek kepatuhan meliputi:</w:t>
      </w:r>
    </w:p>
    <w:p>
      <w:pPr>
        <w:spacing w:lineRule="auto" w:line="360"/>
        <w:ind w:firstLine="720"/>
        <w:jc w:val="both"/>
      </w:pPr>
      <w:r>
        <w:rPr>
          <w:rFonts w:ascii="Times New Roman" w:hAnsi="Times New Roman" w:cs="Times New Roman"/>
          <w:b w:val="0"/>
          <w:i w:val="0"/>
          <w:sz w:val="24"/>
          <w:szCs w:val="24"/>
        </w:rPr>
        <w:t>Pertama, sumber data dan populasi studi telah dijelaskan secara rinci (Bagian 3.1), termasuk kriteria inklusi dan eksklusi, periode rekrutmen, dan karakteristik baseline populasi. Kedua, definisi dan pengukuran semua prediktor dan luaran telah ditetapkan secara operasional (Tabel 2.1). Ketiga, metode penanganan data hilang, pembagian data, dan teknik validasi telah dijelaskan secara transparan. Keempat, evaluasi performa mencakup diskriminasi (AUC), kalibrasi (Brier score, kurva kalibrasi), dan manfaat klinis (DCA).</w:t>
      </w:r>
    </w:p>
    <w:p>
      <w:pPr>
        <w:spacing w:lineRule="auto" w:line="360"/>
        <w:ind w:firstLine="720"/>
        <w:jc w:val="both"/>
      </w:pPr>
      <w:r>
        <w:t>Namun, beberapa aspek TRIPOD+AI masih perlu ditingkatkan: (1) validasi eksternal pada kohort independen belum dilakukan; (2) analisis sensitivitas terkait data hilang belum menyeluruh; (3) model fairness analysis (performa pada subkelompok berdasarkan jenis kelamin, usia, dan komorbiditas) perlu dilaporkan lebih detail. Penelitian lanjutan direncanakan untuk mengatasi keterbatasan ini.</w:t>
      </w:r>
    </w:p>
    <w:p>
      <w:pPr>
        <w:spacing w:line="360" w:lineRule="auto"/>
      </w:pPr>
      <w:r>
        <w:rPr>
          <w:rFonts w:ascii="Times New Roman" w:hAnsi="Times New Roman" w:cs="Times New Roman"/>
          <w:sz w:val="24"/>
          <w:szCs w:val="24"/>
        </w:rPr>
        <w:br w:type="page"/>
      </w:r>
    </w:p>
    <w:p>
      <w:pPr>
        <w:spacing w:lineRule="auto" w:line="360" w:before="240" w:after="120"/>
        <w:jc w:val="center"/>
      </w:pPr>
      <w:r>
        <w:rPr>
          <w:rFonts w:ascii="Times New Roman" w:hAnsi="Times New Roman" w:cs="Times New Roman"/>
          <w:b/>
          <w:i w:val="0"/>
          <w:sz w:val="24"/>
          <w:szCs w:val="24"/>
        </w:rPr>
        <w:t>BAB V</w:t>
      </w:r>
    </w:p>
    <w:p>
      <w:pPr>
        <w:spacing w:lineRule="auto" w:line="360" w:before="240" w:after="120"/>
        <w:jc w:val="center"/>
      </w:pPr>
      <w:r>
        <w:rPr>
          <w:rFonts w:ascii="Times New Roman" w:hAnsi="Times New Roman" w:cs="Times New Roman"/>
          <w:b/>
          <w:i w:val="0"/>
          <w:sz w:val="24"/>
          <w:szCs w:val="24"/>
        </w:rPr>
        <w:t>KESIMPULAN DAN SARAN</w:t>
      </w:r>
    </w:p>
    <w:p>
      <w:pPr>
        <w:spacing w:lineRule="auto" w:line="360" w:before="120" w:after="60"/>
        <w:jc w:val="left"/>
      </w:pPr>
      <w:r>
        <w:rPr>
          <w:rFonts w:ascii="Times New Roman" w:hAnsi="Times New Roman" w:cs="Times New Roman"/>
          <w:b/>
          <w:i w:val="0"/>
          <w:sz w:val="24"/>
          <w:szCs w:val="24"/>
        </w:rPr>
        <w:t>5.1 Kesimpulan</w:t>
      </w:r>
    </w:p>
    <w:p>
      <w:pPr>
        <w:spacing w:lineRule="auto" w:line="360"/>
        <w:ind w:firstLine="720"/>
        <w:jc w:val="both"/>
      </w:pPr>
      <w:r>
        <w:rPr>
          <w:rFonts w:ascii="Times New Roman" w:hAnsi="Times New Roman" w:cs="Times New Roman"/>
          <w:b w:val="0"/>
          <w:i w:val="0"/>
          <w:sz w:val="24"/>
          <w:szCs w:val="24"/>
        </w:rPr>
        <w:t>Berdasarkan hasil penelitian dan pembahasan yang telah dilakukan, dapat ditarik beberapa kesimpulan sebagai berikut:</w:t>
      </w:r>
    </w:p>
    <w:p>
      <w:pPr>
        <w:spacing w:lineRule="auto" w:line="360"/>
        <w:ind w:firstLine="720"/>
        <w:jc w:val="both"/>
      </w:pPr>
      <w:r>
        <w:rPr>
          <w:rFonts w:ascii="Times New Roman" w:hAnsi="Times New Roman" w:cs="Times New Roman"/>
          <w:b w:val="0"/>
          <w:i w:val="0"/>
          <w:sz w:val="24"/>
          <w:szCs w:val="24"/>
        </w:rPr>
        <w:t>1. Variabel prediktor yang signifikan untuk mortalitas in-hospital pada pasien STEMI dan NSTEMI meliputi parameter fungsi ginjal (eGFR, ureum), hemodinamik ekokardiografi (LVOT VTI), parameter darah (hemoglobin, APTT, kalium), karakteristik demografis (usia), fungsi ventrikel (LVEF, TAPSE), status hemodinamik (tekanan darah sistolik, heart rate, respiratory rate), dan klasifikasi klinis (Killip class). eGFR dan ureum merupakan dua prediktor paling dominan, mengonfirmasi peran kritis fungsi ginjal sebagai penanda hipoperfusi organ.</w:t>
      </w:r>
    </w:p>
    <w:p>
      <w:pPr>
        <w:spacing w:lineRule="auto" w:line="360"/>
        <w:ind w:firstLine="720"/>
        <w:jc w:val="both"/>
      </w:pPr>
      <w:r>
        <w:t>2. Model Random Forest yang dikembangkan menunjukkan performa diskriminasi yang baik dengan AUC 0.818 (95% CI: 0.812-0.824) dan kalibrasi yang baik dengan Brier score 0.061. Model konsisten pada validasi silang 10 seed dengan standar deviasi AUC 0.0032. Pada ambang Youden, model mencapai sensitivitas 80.9% dan spesifisitas 70.6% dengan flag positif 336 pasien (33,3% dari populasi).</w:t>
      </w:r>
    </w:p>
    <w:p>
      <w:pPr>
        <w:spacing w:lineRule="auto" w:line="360"/>
        <w:ind w:firstLine="720"/>
        <w:jc w:val="both"/>
      </w:pPr>
      <w:r>
        <w:t>3. Sistem triase tiga tingkat berdasarkan kombinasi ambang safety (0,018455) dan Youden (0,103981) mampu mengidentifikasi tiga strata risiko: kelompok risiko tinggi (ICU) dengan mortalitas 18,3% yang mencakup 33,3% populasi (336 pasien) namun menyumbang 80,9% kejadian mortalitas, kelompok risiko sedang (HCU) dengan mortalitas 3,8% (817 pasien, 48,4% populasi), dan kelompok risiko rendah (ward) dengan mortalitas 0,7% (371 pasien, 18,3% populasi).</w:t>
      </w:r>
    </w:p>
    <w:p>
      <w:pPr>
        <w:spacing w:lineRule="auto" w:line="360"/>
        <w:ind w:firstLine="720"/>
        <w:jc w:val="both"/>
      </w:pPr>
      <w:r>
        <w:rPr>
          <w:rFonts w:ascii="Times New Roman" w:hAnsi="Times New Roman" w:cs="Times New Roman"/>
          <w:b w:val="0"/>
          <w:i w:val="0"/>
          <w:sz w:val="24"/>
          <w:szCs w:val="24"/>
        </w:rPr>
        <w:t>4. Model Random Forest menunjukkan performa yang lebih baik dibandingkan XGBoost (AUC 0.818 vs 0,789) dan lebih unggul dari skor risiko konvensional seperti GRACE (AUC 0,745-0,831) dan TIMI (AUC 0,650-0,760) yang dilaporkan dalam literatur.</w:t>
      </w:r>
    </w:p>
    <w:p>
      <w:pPr>
        <w:spacing w:lineRule="auto" w:line="360"/>
        <w:ind w:firstLine="720"/>
        <w:jc w:val="both"/>
      </w:pPr>
      <w:r>
        <w:rPr>
          <w:rFonts w:ascii="Times New Roman" w:hAnsi="Times New Roman" w:cs="Times New Roman"/>
          <w:b w:val="0"/>
          <w:i w:val="0"/>
          <w:sz w:val="24"/>
          <w:szCs w:val="24"/>
        </w:rPr>
        <w:t>5. Performa model untuk luaran mortalitas (AUC 0,818) lebih baik dibandingkan untuk luaran syok kardiogenik baru (AUC 0,670) dan luaran komposit (AUC 0,742), menunjukkan bahwa prediksi mortalitas lebih dapat diandalkan dibandingkan prediksi kejadian spesifik SKG dalam desain penelitian ini.</w:t>
      </w:r>
    </w:p>
    <w:p>
      <w:pPr>
        <w:spacing w:lineRule="auto" w:line="360" w:before="120" w:after="60"/>
        <w:jc w:val="left"/>
      </w:pPr>
      <w:r>
        <w:rPr>
          <w:rFonts w:ascii="Times New Roman" w:hAnsi="Times New Roman" w:cs="Times New Roman"/>
          <w:b/>
          <w:i w:val="0"/>
          <w:sz w:val="24"/>
          <w:szCs w:val="24"/>
        </w:rPr>
        <w:t>5.2 Saran</w:t>
      </w:r>
    </w:p>
    <w:p>
      <w:pPr>
        <w:spacing w:lineRule="auto" w:line="360"/>
        <w:ind w:firstLine="720"/>
        <w:jc w:val="both"/>
      </w:pPr>
      <w:r>
        <w:rPr>
          <w:rFonts w:ascii="Times New Roman" w:hAnsi="Times New Roman" w:cs="Times New Roman"/>
          <w:b w:val="0"/>
          <w:i w:val="0"/>
          <w:sz w:val="24"/>
          <w:szCs w:val="24"/>
        </w:rPr>
        <w:t>Berdasarkan hasil dan keterbatasan penelitian ini, beberapa saran dapat diberikan:</w:t>
      </w:r>
    </w:p>
    <w:p>
      <w:pPr>
        <w:spacing w:lineRule="auto" w:line="360"/>
        <w:ind w:firstLine="720"/>
        <w:jc w:val="both"/>
      </w:pPr>
      <w:r>
        <w:rPr>
          <w:rFonts w:ascii="Times New Roman" w:hAnsi="Times New Roman" w:cs="Times New Roman"/>
          <w:b w:val="0"/>
          <w:i w:val="0"/>
          <w:sz w:val="24"/>
          <w:szCs w:val="24"/>
        </w:rPr>
        <w:t>1. Validasi eksternal model pada kohort yang independen, idealnya dari beberapa pusat kesehatan di berbagai wilayah Indonesia, sangat diperlukan sebelum implementasi klinis yang luas. Validasi prospektif juga direkomendasikan untuk mengonfirmasi performa model dalam setting klinis real-time.</w:t>
      </w:r>
    </w:p>
    <w:p>
      <w:pPr>
        <w:spacing w:lineRule="auto" w:line="360"/>
        <w:ind w:firstLine="720"/>
        <w:jc w:val="both"/>
      </w:pPr>
      <w:r>
        <w:rPr>
          <w:rFonts w:ascii="Times New Roman" w:hAnsi="Times New Roman" w:cs="Times New Roman"/>
          <w:b w:val="0"/>
          <w:i w:val="0"/>
          <w:sz w:val="24"/>
          <w:szCs w:val="24"/>
        </w:rPr>
        <w:t>2. Pengembangan model prediksi dinamis (time-updated) yang memperhitungkan perubahan status klinis pasien selama perawatan berpotensi meningkatkan akurasi prediksi dan memberikan informasi prognostik yang lebih relevan secara temporal.</w:t>
      </w:r>
    </w:p>
    <w:p>
      <w:pPr>
        <w:spacing w:lineRule="auto" w:line="360"/>
        <w:ind w:firstLine="720"/>
        <w:jc w:val="both"/>
      </w:pPr>
      <w:r>
        <w:rPr>
          <w:rFonts w:ascii="Times New Roman" w:hAnsi="Times New Roman" w:cs="Times New Roman"/>
          <w:b w:val="0"/>
          <w:i w:val="0"/>
          <w:sz w:val="24"/>
          <w:szCs w:val="24"/>
        </w:rPr>
        <w:t>3. Integrasi model ke dalam sistem rekam medis elektronik sebagai alat bantu keputusan klinis perlu dipertimbangkan, dengan antarmuka yang intuitif dan alert otomatis untuk pasien risiko tinggi.</w:t>
      </w:r>
    </w:p>
    <w:p>
      <w:pPr>
        <w:spacing w:lineRule="auto" w:line="360"/>
        <w:ind w:firstLine="720"/>
        <w:jc w:val="both"/>
      </w:pPr>
      <w:r>
        <w:t>4. Penambahan variabel prediktor yang lebih menyeluruh, seperti kadar laktat, pH, LDH, dan biomarker inflamasi, jika tersedia secara rutin, dapat meningkatkan performa model, terutama untuk prediksi syok kardiogenik.</w:t>
      </w:r>
    </w:p>
    <w:p>
      <w:pPr>
        <w:spacing w:lineRule="auto" w:line="360"/>
        <w:ind w:firstLine="720"/>
        <w:jc w:val="both"/>
      </w:pPr>
      <w:r>
        <w:rPr>
          <w:rFonts w:ascii="Times New Roman" w:hAnsi="Times New Roman" w:cs="Times New Roman"/>
          <w:b w:val="0"/>
          <w:i w:val="0"/>
          <w:sz w:val="24"/>
          <w:szCs w:val="24"/>
        </w:rPr>
        <w:t>5. Studi dengan desain prospektif dan pengumpulan data yang terstandarisasi, termasuk protokol ekokardiografi yang seragam dan definisi luaran yang ketat, akan mengurangi bias yang melekat pada desain retrospektif.</w:t>
      </w:r>
    </w:p>
    <w:p>
      <w:pPr>
        <w:spacing w:lineRule="auto" w:line="360"/>
        <w:ind w:firstLine="720"/>
        <w:jc w:val="both"/>
      </w:pPr>
      <w:r>
        <w:rPr>
          <w:rFonts w:ascii="Times New Roman" w:hAnsi="Times New Roman" w:cs="Times New Roman"/>
          <w:b w:val="0"/>
          <w:i w:val="0"/>
          <w:sz w:val="24"/>
          <w:szCs w:val="24"/>
        </w:rPr>
        <w:t>6. Analisis dampak klinis (clinical impact analysis) melalui uji klinis acak atau studi implementasi perlu dilakukan untuk mengevaluasi apakah penggunaan model ini benar-benar meningkatkan luaran pasien dan efisiensi biaya perawatan.</w:t>
      </w:r>
    </w:p>
    <w:p>
      <w:pPr>
        <w:spacing w:lineRule="auto" w:line="360"/>
        <w:ind w:firstLine="720"/>
        <w:jc w:val="both"/>
      </w:pPr>
      <w:r>
        <w:rPr>
          <w:rFonts w:ascii="Times New Roman" w:hAnsi="Times New Roman" w:cs="Times New Roman"/>
          <w:b w:val="0"/>
          <w:i w:val="0"/>
          <w:sz w:val="24"/>
          <w:szCs w:val="24"/>
        </w:rPr>
        <w:t>7. Pengembangan model yang lebih sederhana dengan fitur yang lebih sedikit (misalnya, tanpa parameter ekokardiografi) dapat dipertimbangkan untuk fasilitas kesehatan dengan sumber daya terbatas, meskipun dengan konsekuensi penurunan akurasi.</w:t>
      </w:r>
    </w:p>
    <w:p>
      <w:pPr>
        <w:spacing w:lineRule="auto" w:line="360"/>
        <w:ind w:firstLine="720"/>
        <w:jc w:val="both"/>
      </w:pPr>
      <w:r>
        <w:rPr>
          <w:rFonts w:ascii="Times New Roman" w:hAnsi="Times New Roman" w:cs="Times New Roman"/>
          <w:b w:val="0"/>
          <w:i w:val="0"/>
          <w:sz w:val="24"/>
          <w:szCs w:val="24"/>
        </w:rPr>
        <w:t>8. Fairness analysis pada subkelompok populasi (berdasarkan jenis kelamin, usia, status sosio-ekonomi, dan komorbiditas) perlu dilakukan untuk memastikan model tidak menghasilkan prediksi yang bias terhadap kelompok tertentu.</w:t>
      </w:r>
    </w:p>
    <w:p>
      <w:pPr>
        <w:spacing w:before="240" w:after="120" w:line="360" w:lineRule="auto"/>
        <w:jc w:val="center"/>
      </w:pPr>
      <w:r>
        <w:rPr>
          <w:rFonts w:ascii="Times New Roman" w:hAnsi="Times New Roman" w:cs="Times New Roman"/>
          <w:b/>
          <w:sz w:val="24"/>
          <w:szCs w:val="24"/>
        </w:rPr>
        <w:t>DAFTAR PUSTAKA</w:t>
      </w:r>
    </w:p>
    <w:p>
      <w:pPr>
        <w:spacing w:after="60" w:line="360" w:lineRule="auto"/>
        <w:ind w:firstLine="709"/>
        <w:jc w:val="both"/>
      </w:pPr>
      <w:r>
        <w:rPr>
          <w:rFonts w:ascii="Times New Roman" w:hAnsi="Times New Roman" w:cs="Times New Roman"/>
          <w:sz w:val="24"/>
          <w:szCs w:val="24"/>
        </w:rPr>
        <w:t>Acharya, D., 2018. Predictors of Outcomes in Myocardial Infarction and Cardiogenic Shock. *Cardiology in Review*, 26(5), pp.255-266. https://doi.org/10.1097/crd.0000000000000190.</w:t>
      </w:r>
    </w:p>
    <w:p>
      <w:pPr>
        <w:spacing w:after="60" w:line="360" w:lineRule="auto"/>
        <w:ind w:firstLine="709"/>
        <w:jc w:val="both"/>
      </w:pPr>
      <w:r>
        <w:rPr>
          <w:rFonts w:ascii="Times New Roman" w:hAnsi="Times New Roman" w:cs="Times New Roman"/>
          <w:sz w:val="24"/>
          <w:szCs w:val="24"/>
        </w:rPr>
        <w:t>Aragam, K.G. et al., 2009. Does Simplicity Compromise Accuracy in ACS Risk Prediction? A Retrospective Analysis of the TIMI and GRACE Risk Scores. *PLoS ONE*, 4(11), p.e7947. https://doi.org/10.1371/journal.pone.0007947.</w:t>
      </w:r>
    </w:p>
    <w:p>
      <w:pPr>
        <w:spacing w:after="60" w:line="360" w:lineRule="auto"/>
        <w:ind w:firstLine="709"/>
        <w:jc w:val="both"/>
      </w:pPr>
      <w:r>
        <w:rPr>
          <w:rFonts w:ascii="Times New Roman" w:hAnsi="Times New Roman" w:cs="Times New Roman"/>
          <w:sz w:val="24"/>
          <w:szCs w:val="24"/>
        </w:rPr>
        <w:t>Baran, D.A. et al., 2019. SCAI clinical expert consensus statement on the classification of cardiogenic shock. *Catheterization and Cardiovascular Interventions*, 94(1), pp.29-37. https://doi.org/10.1002/ccd.28329.</w:t>
      </w:r>
    </w:p>
    <w:p>
      <w:pPr>
        <w:spacing w:after="60" w:line="360" w:lineRule="auto"/>
        <w:ind w:firstLine="709"/>
        <w:jc w:val="both"/>
      </w:pPr>
      <w:r>
        <w:rPr>
          <w:rFonts w:ascii="Times New Roman" w:hAnsi="Times New Roman" w:cs="Times New Roman"/>
          <w:sz w:val="24"/>
          <w:szCs w:val="24"/>
        </w:rPr>
        <w:t>Breiman, L., 2001. Random Forests. *Machine Learning*, 45(1), pp.5-32. https://doi.org/10.1023/a:1010933404324.</w:t>
      </w:r>
    </w:p>
    <w:p>
      <w:pPr>
        <w:spacing w:after="60" w:line="360" w:lineRule="auto"/>
        <w:ind w:firstLine="709"/>
        <w:jc w:val="both"/>
      </w:pPr>
      <w:r>
        <w:rPr>
          <w:rFonts w:ascii="Times New Roman" w:hAnsi="Times New Roman" w:cs="Times New Roman"/>
          <w:sz w:val="24"/>
          <w:szCs w:val="24"/>
        </w:rPr>
        <w:t>Byrne, R.A. et al., 2023. 2023 ESC Guidelines for the management of acute coronary syndromes. *European Heart Journal*, 44(38), pp.3720-3361. https://doi.org/10.1093/eurheartj/ehad191.</w:t>
      </w:r>
    </w:p>
    <w:p>
      <w:pPr>
        <w:spacing w:after="60" w:line="360" w:lineRule="auto"/>
        <w:ind w:firstLine="709"/>
        <w:jc w:val="both"/>
      </w:pPr>
      <w:r>
        <w:rPr>
          <w:rFonts w:ascii="Times New Roman" w:hAnsi="Times New Roman" w:cs="Times New Roman"/>
          <w:sz w:val="24"/>
          <w:szCs w:val="24"/>
        </w:rPr>
        <w:t>Calvo Cordoba, R. et al., 2025. Cardiogenic shock secondary to acute coronary syndrome. *European Heart Journal: Acute Cardiovascular Care*, 14(Supplement_1), p.zuaf044.119. https://doi.org/10.1093/ehjacc/zuaf044.119.</w:t>
      </w:r>
    </w:p>
    <w:p>
      <w:pPr>
        <w:spacing w:after="60" w:line="360" w:lineRule="auto"/>
        <w:ind w:firstLine="709"/>
        <w:jc w:val="both"/>
      </w:pPr>
      <w:r>
        <w:rPr>
          <w:rFonts w:ascii="Times New Roman" w:hAnsi="Times New Roman" w:cs="Times New Roman"/>
          <w:sz w:val="24"/>
          <w:szCs w:val="24"/>
        </w:rPr>
        <w:t>Cecconi, M. et al., 2014. Consensus on circulatory shock and hemodynamic monitoring. *Intensive Care Medicine*, 40(12), pp.1795-1815. https://doi.org/10.1007/s00134-014-3525-z.</w:t>
      </w:r>
    </w:p>
    <w:p>
      <w:pPr>
        <w:spacing w:after="60" w:line="360" w:lineRule="auto"/>
        <w:ind w:firstLine="709"/>
        <w:jc w:val="both"/>
      </w:pPr>
      <w:r>
        <w:rPr>
          <w:rFonts w:ascii="Times New Roman" w:hAnsi="Times New Roman" w:cs="Times New Roman"/>
          <w:sz w:val="24"/>
          <w:szCs w:val="24"/>
        </w:rPr>
        <w:t>Chang, Y. et al., 2022. Early Prediction of Cardiogenic Shock Using Machine Learning. *Frontiers in Cardiovascular Medicine*, 9, p.862424. https://doi.org/10.3389/fcvm.2022.862424.</w:t>
      </w:r>
    </w:p>
    <w:p>
      <w:pPr>
        <w:spacing w:after="60" w:line="360" w:lineRule="auto"/>
        <w:ind w:firstLine="709"/>
        <w:jc w:val="both"/>
      </w:pPr>
      <w:r>
        <w:rPr>
          <w:rFonts w:ascii="Times New Roman" w:hAnsi="Times New Roman" w:cs="Times New Roman"/>
          <w:sz w:val="24"/>
          <w:szCs w:val="24"/>
        </w:rPr>
        <w:t>Chen, T. dan Guestrin, C., 2016. XGBoost: A Scalable Tree Boosting System. Dalam: *Proceedings of the 22nd ACM SIGKDD International Conference on Knowledge Discovery and Data Mining*. San Francisco, pp.785-794. https://doi.org/10.1145/2939672.2939785.</w:t>
      </w:r>
    </w:p>
    <w:p>
      <w:pPr>
        <w:spacing w:after="60" w:line="360" w:lineRule="auto"/>
        <w:ind w:firstLine="709"/>
        <w:jc w:val="both"/>
      </w:pPr>
      <w:r>
        <w:rPr>
          <w:rFonts w:ascii="Times New Roman" w:hAnsi="Times New Roman" w:cs="Times New Roman"/>
          <w:sz w:val="24"/>
          <w:szCs w:val="24"/>
        </w:rPr>
        <w:t>Chioncel, O. et al., 2020. Epidemiology, pathophysiology and contemporary management of cardiogenic shock. *European Journal of Heart Failure*, 22(8), pp.1315-1341. https://doi.org/10.1002/ejhf.1922.</w:t>
      </w:r>
    </w:p>
    <w:p>
      <w:pPr>
        <w:spacing w:after="60" w:line="360" w:lineRule="auto"/>
        <w:ind w:firstLine="709"/>
        <w:jc w:val="both"/>
      </w:pPr>
      <w:r>
        <w:rPr>
          <w:rFonts w:ascii="Times New Roman" w:hAnsi="Times New Roman" w:cs="Times New Roman"/>
          <w:sz w:val="24"/>
          <w:szCs w:val="24"/>
        </w:rPr>
        <w:t>Christodoulou, E. et al., 2019. A systematic review shows no performance benefit of machine learning over logistic regression for clinical prediction models. *Journal of Clinical Epidemiology*, 110, pp.12-22. https://doi.org/10.1016/j.jclinepi.2019.02.004.</w:t>
      </w:r>
    </w:p>
    <w:p>
      <w:pPr>
        <w:spacing w:after="60" w:line="360" w:lineRule="auto"/>
        <w:ind w:firstLine="709"/>
        <w:jc w:val="both"/>
      </w:pPr>
      <w:r>
        <w:rPr>
          <w:rFonts w:ascii="Times New Roman" w:hAnsi="Times New Roman" w:cs="Times New Roman"/>
          <w:sz w:val="24"/>
          <w:szCs w:val="24"/>
        </w:rPr>
        <w:t>Collet, J.-P. et al., 2021. 2020 ESC Guidelines for the management of acute coronary syndromes in patients presenting without persistent ST-segment elevation. *European Heart Journal*, 42(14), pp.1289-1367. https://doi.org/10.1093/eurheartj/ehaa575.</w:t>
      </w:r>
    </w:p>
    <w:p>
      <w:pPr>
        <w:spacing w:after="60" w:line="360" w:lineRule="auto"/>
        <w:ind w:firstLine="709"/>
        <w:jc w:val="both"/>
      </w:pPr>
      <w:r>
        <w:rPr>
          <w:rFonts w:ascii="Times New Roman" w:hAnsi="Times New Roman" w:cs="Times New Roman"/>
          <w:sz w:val="24"/>
          <w:szCs w:val="24"/>
        </w:rPr>
        <w:t>D'Ascenzo, F. et al., 2012. TIMI, GRACE and alternative risk scores in Acute Coronary Syndromes. *Contemporary Clinical Trials*, 33(3), pp.507-514. https://doi.org/10.1016/j.cct.2012.01.001.</w:t>
      </w:r>
    </w:p>
    <w:p>
      <w:pPr>
        <w:spacing w:after="60" w:line="360" w:lineRule="auto"/>
        <w:ind w:firstLine="709"/>
        <w:jc w:val="both"/>
      </w:pPr>
      <w:r>
        <w:rPr>
          <w:rFonts w:ascii="Times New Roman" w:hAnsi="Times New Roman" w:cs="Times New Roman"/>
          <w:sz w:val="24"/>
          <w:szCs w:val="24"/>
        </w:rPr>
        <w:t>Fox, K.A.A. et al., 2014. Should patients with acute coronary disease be stratified for management according to their risk? *BMJ Open*, 4(2), p.e004425. https://doi.org/10.1136/bmjopen-2013-004425.</w:t>
      </w:r>
    </w:p>
    <w:p>
      <w:pPr>
        <w:spacing w:after="60" w:line="360" w:lineRule="auto"/>
        <w:ind w:firstLine="709"/>
        <w:jc w:val="both"/>
      </w:pPr>
      <w:r>
        <w:rPr>
          <w:rFonts w:ascii="Times New Roman" w:hAnsi="Times New Roman" w:cs="Times New Roman"/>
          <w:sz w:val="24"/>
          <w:szCs w:val="24"/>
        </w:rPr>
        <w:t>Friedman, J.H., 2001. Greedy function approximation: A gradient boosting machine. *The Annals of Statistics*, 29(5). https://doi.org/10.1214/aos/1013203451.</w:t>
      </w:r>
    </w:p>
    <w:p>
      <w:pPr>
        <w:spacing w:after="60" w:line="360" w:lineRule="auto"/>
        <w:ind w:firstLine="709"/>
        <w:jc w:val="both"/>
      </w:pPr>
      <w:r>
        <w:rPr>
          <w:rFonts w:ascii="Times New Roman" w:hAnsi="Times New Roman" w:cs="Times New Roman"/>
          <w:sz w:val="24"/>
          <w:szCs w:val="24"/>
        </w:rPr>
        <w:t>Gale, C.P. et al., 2008. Evaluation of risk scores for risk stratification of acute coronary syndromes in the MINAP database. *Heart*, 95(3), pp.221-227. https://doi.org/10.1136/hrt.2008.144022.</w:t>
      </w:r>
    </w:p>
    <w:p>
      <w:pPr>
        <w:spacing w:after="60" w:line="360" w:lineRule="auto"/>
        <w:ind w:firstLine="709"/>
        <w:jc w:val="both"/>
      </w:pPr>
      <w:r>
        <w:rPr>
          <w:rFonts w:ascii="Times New Roman" w:hAnsi="Times New Roman" w:cs="Times New Roman"/>
          <w:sz w:val="24"/>
          <w:szCs w:val="24"/>
        </w:rPr>
        <w:t>Ghionzoli, N. et al., 2021. Cardiogenic shock and acute kidney injury: the rule rather than the exception. *Heart Failure Reviews*, 26(3), pp.487-496. https://doi.org/10.1007/s10741-020-10034-0.</w:t>
      </w:r>
    </w:p>
    <w:p>
      <w:pPr>
        <w:spacing w:after="60" w:line="360" w:lineRule="auto"/>
        <w:ind w:firstLine="709"/>
        <w:jc w:val="both"/>
      </w:pPr>
      <w:r>
        <w:rPr>
          <w:rFonts w:ascii="Times New Roman" w:hAnsi="Times New Roman" w:cs="Times New Roman"/>
          <w:sz w:val="24"/>
          <w:szCs w:val="24"/>
        </w:rPr>
        <w:t>Granger, C.B., 2003. Predictors of Hospital Mortality in the Global Registry of Acute Coronary Events. *Archives of Internal Medicine*, 163(19), p.2345. https://doi.org/10.1001/archinte.163.19.2345.</w:t>
      </w:r>
    </w:p>
    <w:p>
      <w:pPr>
        <w:spacing w:after="60" w:line="360" w:lineRule="auto"/>
        <w:ind w:firstLine="709"/>
        <w:jc w:val="both"/>
      </w:pPr>
      <w:r>
        <w:rPr>
          <w:rFonts w:ascii="Times New Roman" w:hAnsi="Times New Roman" w:cs="Times New Roman"/>
          <w:sz w:val="24"/>
          <w:szCs w:val="24"/>
        </w:rPr>
        <w:t>Gulati, M. et al., 2021. 2021 AHA/ACC/ASE/CHEST/SAEM/SCCT/SCMR Guideline for the Evaluation and Diagnosis of Chest Pain. *Circulation*, 144(22). https://doi.org/10.1161/CIR.0000000000001029.</w:t>
      </w:r>
    </w:p>
    <w:p>
      <w:pPr>
        <w:spacing w:after="60" w:line="360" w:lineRule="auto"/>
        <w:ind w:firstLine="709"/>
        <w:jc w:val="both"/>
      </w:pPr>
      <w:r>
        <w:rPr>
          <w:rFonts w:ascii="Times New Roman" w:hAnsi="Times New Roman" w:cs="Times New Roman"/>
          <w:sz w:val="24"/>
          <w:szCs w:val="24"/>
        </w:rPr>
        <w:t>Hastie, T., Tibshirani, R. dan Friedman, J., 2009. *The Elements of Statistical Learning*. New York: Springer. https://doi.org/10.1007/978-0-387-84858-7.</w:t>
      </w:r>
    </w:p>
    <w:p>
      <w:pPr>
        <w:spacing w:after="60" w:line="360" w:lineRule="auto"/>
        <w:ind w:firstLine="709"/>
        <w:jc w:val="both"/>
      </w:pPr>
      <w:r>
        <w:rPr>
          <w:rFonts w:ascii="Times New Roman" w:hAnsi="Times New Roman" w:cs="Times New Roman"/>
          <w:sz w:val="24"/>
          <w:szCs w:val="24"/>
        </w:rPr>
        <w:t>Hochman, J.S. et al., 1999. Early Revascularization in Acute Myocardial Infarction Complicated by Cardiogenic Shock. *New England Journal of Medicine*, 341(9), pp.625-634. https://doi.org/10.1056/NEJM199903613410901.</w:t>
      </w:r>
    </w:p>
    <w:p>
      <w:pPr>
        <w:spacing w:after="60" w:line="360" w:lineRule="auto"/>
        <w:ind w:firstLine="709"/>
        <w:jc w:val="both"/>
      </w:pPr>
      <w:r>
        <w:rPr>
          <w:rFonts w:ascii="Times New Roman" w:hAnsi="Times New Roman" w:cs="Times New Roman"/>
          <w:sz w:val="24"/>
          <w:szCs w:val="24"/>
        </w:rPr>
        <w:t>Holmes, D.R. et al., 1999. Cardiogenic Shock in Patients With Acute Ischemic Syndromes With and Without ST-Segment Elevation. *Circulation*, 100(20), pp.2067-2073. https://doi.org/10.1161/01.CIR.100.20.2067.</w:t>
      </w:r>
    </w:p>
    <w:p>
      <w:pPr>
        <w:spacing w:after="60" w:line="360" w:lineRule="auto"/>
        <w:ind w:firstLine="709"/>
        <w:jc w:val="both"/>
      </w:pPr>
      <w:r>
        <w:rPr>
          <w:rFonts w:ascii="Times New Roman" w:hAnsi="Times New Roman" w:cs="Times New Roman"/>
          <w:sz w:val="24"/>
          <w:szCs w:val="24"/>
        </w:rPr>
        <w:t>Ibanez, B. et al., 2018. 2017 ESC Guidelines for the management of acute myocardial infarction in patients presenting with ST-segment elevation. *European Heart Journal*, 39(2), pp.119-177. https://doi.org/10.1093/eurheartj/ehx393.</w:t>
      </w:r>
    </w:p>
    <w:p>
      <w:pPr>
        <w:spacing w:after="60" w:line="360" w:lineRule="auto"/>
        <w:ind w:firstLine="709"/>
        <w:jc w:val="both"/>
      </w:pPr>
      <w:r>
        <w:rPr>
          <w:rFonts w:ascii="Times New Roman" w:hAnsi="Times New Roman" w:cs="Times New Roman"/>
          <w:sz w:val="24"/>
          <w:szCs w:val="24"/>
        </w:rPr>
        <w:t>Jajcay, N. et al., 2023. Data processing pipeline for cardiogenic shock prediction using machine learning. *Frontiers in Cardiovascular Medicine*, 10. https://doi.org/10.3389/fcvm.2023.1132680.</w:t>
      </w:r>
    </w:p>
    <w:p>
      <w:pPr>
        <w:spacing w:after="60" w:line="360" w:lineRule="auto"/>
        <w:ind w:firstLine="709"/>
        <w:jc w:val="both"/>
      </w:pPr>
      <w:r>
        <w:rPr>
          <w:rFonts w:ascii="Times New Roman" w:hAnsi="Times New Roman" w:cs="Times New Roman"/>
          <w:sz w:val="24"/>
          <w:szCs w:val="24"/>
        </w:rPr>
        <w:t>Jentzer, J.C. et al., 2021. Influence of age and shock severity on short-term survival in patients with cardiogenic shock. *European Heart Journal. Acute Cardiovascular Care*, 10(6), pp.604-612. https://doi.org/10.1093/ehjacc/zuaa035.</w:t>
      </w:r>
    </w:p>
    <w:p>
      <w:pPr>
        <w:spacing w:after="60" w:line="360" w:lineRule="auto"/>
        <w:ind w:firstLine="709"/>
        <w:jc w:val="both"/>
      </w:pPr>
      <w:r>
        <w:rPr>
          <w:rFonts w:ascii="Times New Roman" w:hAnsi="Times New Roman" w:cs="Times New Roman"/>
          <w:sz w:val="24"/>
          <w:szCs w:val="24"/>
        </w:rPr>
        <w:t>Johnson, K.W. et al., 2018. Artificial Intelligence in Cardiology. *Journal of the American College of Cardiology*, 71(23), pp.2668-2679. https://doi.org/10.1016/j.jacc.2018.03.521.</w:t>
      </w:r>
    </w:p>
    <w:p>
      <w:pPr>
        <w:spacing w:after="60" w:line="360" w:lineRule="auto"/>
        <w:ind w:firstLine="709"/>
        <w:jc w:val="both"/>
      </w:pPr>
      <w:r>
        <w:rPr>
          <w:rFonts w:ascii="Times New Roman" w:hAnsi="Times New Roman" w:cs="Times New Roman"/>
          <w:sz w:val="24"/>
          <w:szCs w:val="24"/>
        </w:rPr>
        <w:t>Kadakia, M.B. et al., 2011. Central obesity and cardiovascular outcomes in patients with acute coronary syndrome. *Heart*, 97(21), pp.1782-1787. https://doi.org/10.1136/heartjnl-2011-300231.</w:t>
      </w:r>
    </w:p>
    <w:p>
      <w:pPr>
        <w:spacing w:after="60" w:line="360" w:lineRule="auto"/>
        <w:ind w:firstLine="709"/>
        <w:jc w:val="both"/>
      </w:pPr>
      <w:r>
        <w:rPr>
          <w:rFonts w:ascii="Times New Roman" w:hAnsi="Times New Roman" w:cs="Times New Roman"/>
          <w:sz w:val="24"/>
          <w:szCs w:val="24"/>
        </w:rPr>
        <w:t>Kanamori, H. et al., 2022. Impact of Autophagy on Prognosis of Patients With Dilated Cardiomyopathy. *Journal of the American College of Cardiology*, 79(8), pp.789-801. https://doi.org/10.1016/j.jacc.2021.11.059.</w:t>
      </w:r>
    </w:p>
    <w:p>
      <w:pPr>
        <w:spacing w:after="60" w:line="360" w:lineRule="auto"/>
        <w:ind w:firstLine="709"/>
        <w:jc w:val="both"/>
      </w:pPr>
      <w:r>
        <w:rPr>
          <w:rFonts w:ascii="Times New Roman" w:hAnsi="Times New Roman" w:cs="Times New Roman"/>
          <w:sz w:val="24"/>
          <w:szCs w:val="24"/>
        </w:rPr>
        <w:t>Laghlam, D. et al., 2024. Management of cardiogenic shock: a narrative review. *Annals of Intensive Care*, 14(1). https://doi.org/10.1186/s13613-024-01260-y.</w:t>
      </w:r>
    </w:p>
    <w:p>
      <w:pPr>
        <w:spacing w:after="60" w:line="360" w:lineRule="auto"/>
        <w:ind w:firstLine="709"/>
        <w:jc w:val="both"/>
      </w:pPr>
      <w:r>
        <w:rPr>
          <w:rFonts w:ascii="Times New Roman" w:hAnsi="Times New Roman" w:cs="Times New Roman"/>
          <w:sz w:val="24"/>
          <w:szCs w:val="24"/>
        </w:rPr>
        <w:t>Lang, R.M. et al., 2015. Recommendations for Cardiac Chamber Quantification by Echocardiography in Adults. *European Heart Journal – Cardiovascular Imaging*, 16(3), pp.233-271. https://doi.org/10.1093/ehjci/jev014.</w:t>
      </w:r>
    </w:p>
    <w:p>
      <w:pPr>
        <w:spacing w:after="60" w:line="360" w:lineRule="auto"/>
        <w:ind w:firstLine="709"/>
        <w:jc w:val="both"/>
      </w:pPr>
      <w:r>
        <w:t>Libby, P., 2021. Inflammation in Atherosclerosis,No Longer a Theory. *Clinical Chemistry*, 67(1), pp.131-142. https://doi.org/10.1093/clinchem/hvaa275.</w:t>
      </w:r>
    </w:p>
    <w:p>
      <w:pPr>
        <w:spacing w:after="60" w:line="360" w:lineRule="auto"/>
        <w:ind w:firstLine="709"/>
        <w:jc w:val="both"/>
      </w:pPr>
      <w:r>
        <w:rPr>
          <w:rFonts w:ascii="Times New Roman" w:hAnsi="Times New Roman" w:cs="Times New Roman"/>
          <w:sz w:val="24"/>
          <w:szCs w:val="24"/>
        </w:rPr>
        <w:t>Lodrini, A.M. dan Goumans, M.-J., 2021. Cardiomyocytes Cellular Phenotypes After Myocardial Infarction. *Frontiers in Cardiovascular Medicine*, 8, p.750510. https://doi.org/10.3389/fcvm.2021.750510.</w:t>
      </w:r>
    </w:p>
    <w:p>
      <w:pPr>
        <w:spacing w:after="60" w:line="360" w:lineRule="auto"/>
        <w:ind w:firstLine="709"/>
        <w:jc w:val="both"/>
      </w:pPr>
      <w:r>
        <w:rPr>
          <w:rFonts w:ascii="Times New Roman" w:hAnsi="Times New Roman" w:cs="Times New Roman"/>
          <w:sz w:val="24"/>
          <w:szCs w:val="24"/>
        </w:rPr>
        <w:t>Moons, K.G.M. et al., 2015. Transparent Reporting of a multivariable prediction model for Individual Prognosis Or Diagnosis (TRIPOD). *Annals of Internal Medicine*, 162(1), pp.W1-W73. https://doi.org/10.7326/m14-0698.</w:t>
      </w:r>
    </w:p>
    <w:p>
      <w:pPr>
        <w:spacing w:after="60" w:line="360" w:lineRule="auto"/>
        <w:ind w:firstLine="709"/>
        <w:jc w:val="both"/>
      </w:pPr>
      <w:r>
        <w:rPr>
          <w:rFonts w:ascii="Times New Roman" w:hAnsi="Times New Roman" w:cs="Times New Roman"/>
          <w:sz w:val="24"/>
          <w:szCs w:val="24"/>
        </w:rPr>
        <w:t>Nardin, M. et al., 2023. New Insights into Pathophysiology and New Risk Factors for ACS. *Journal of Clinical Medicine*, 12(8), p.2883. https://doi.org/10.3390/jcm12082883.</w:t>
      </w:r>
    </w:p>
    <w:p>
      <w:pPr>
        <w:spacing w:after="60" w:line="360" w:lineRule="auto"/>
        <w:ind w:firstLine="709"/>
        <w:jc w:val="both"/>
      </w:pPr>
      <w:r>
        <w:rPr>
          <w:rFonts w:ascii="Times New Roman" w:hAnsi="Times New Roman" w:cs="Times New Roman"/>
          <w:sz w:val="24"/>
          <w:szCs w:val="24"/>
        </w:rPr>
        <w:t>Rahman, F. et al., 2022. Using Machine Learning for Early Prediction of Cardiogenic Shock in Patients With Acute Heart Failure. *Journal of the Society for Cardiovascular Angiography &amp; Interventions*, 1(3), p.100308. https://doi.org/10.1016/j.jscai.2022.100308.</w:t>
      </w:r>
    </w:p>
    <w:p>
      <w:pPr>
        <w:spacing w:after="60" w:line="360" w:lineRule="auto"/>
        <w:ind w:firstLine="709"/>
        <w:jc w:val="both"/>
      </w:pPr>
      <w:r>
        <w:rPr>
          <w:rFonts w:ascii="Times New Roman" w:hAnsi="Times New Roman" w:cs="Times New Roman"/>
          <w:sz w:val="24"/>
          <w:szCs w:val="24"/>
        </w:rPr>
        <w:t>Rajkomar, A., Dean, J. dan Kohane, I., 2019. Machine Learning in Medicine. *New England Journal of Medicine*, 380(14), pp.1347-1358. https://doi.org/10.1056/NEJMra1814259.</w:t>
      </w:r>
    </w:p>
    <w:p>
      <w:pPr>
        <w:spacing w:after="60" w:line="360" w:lineRule="auto"/>
        <w:ind w:firstLine="709"/>
        <w:jc w:val="both"/>
      </w:pPr>
      <w:r>
        <w:rPr>
          <w:rFonts w:ascii="Times New Roman" w:hAnsi="Times New Roman" w:cs="Times New Roman"/>
          <w:sz w:val="24"/>
          <w:szCs w:val="24"/>
        </w:rPr>
        <w:t>Roth, G.A. et al., 2018. Global, regional, and national age-sex-specific mortality for 446 causes of death in 195 countries and territories, 1980-2017. *The Lancet*, 392(10159), pp.1736-1788. https://doi.org/10.1016/S0140-6736(18)32203-7.</w:t>
      </w:r>
    </w:p>
    <w:p>
      <w:pPr>
        <w:spacing w:after="60" w:line="360" w:lineRule="auto"/>
        <w:ind w:firstLine="709"/>
        <w:jc w:val="both"/>
      </w:pPr>
      <w:r>
        <w:rPr>
          <w:rFonts w:ascii="Times New Roman" w:hAnsi="Times New Roman" w:cs="Times New Roman"/>
          <w:sz w:val="24"/>
          <w:szCs w:val="24"/>
        </w:rPr>
        <w:t>Scheen, M., Giraud, R. dan Bendjelid, K., 2021. Stress hyperglycemia, cardiac glucotoxicity, and critically ill patient outcomes. *Physiological Reports*, 9(2). https://doi.org/10.14814/phy2.14713.</w:t>
      </w:r>
    </w:p>
    <w:p>
      <w:pPr>
        <w:spacing w:after="60" w:line="360" w:lineRule="auto"/>
        <w:ind w:firstLine="709"/>
        <w:jc w:val="both"/>
      </w:pPr>
      <w:r>
        <w:rPr>
          <w:rFonts w:ascii="Times New Roman" w:hAnsi="Times New Roman" w:cs="Times New Roman"/>
          <w:sz w:val="24"/>
          <w:szCs w:val="24"/>
        </w:rPr>
        <w:t>Shalev-Shwartz, S. dan Ben-David, S., 2014. *Understanding Machine Learning: From Theory to Algorithms*. Cambridge University Press. https://doi.org/10.1017/cbo9781107298019.</w:t>
      </w:r>
    </w:p>
    <w:p>
      <w:pPr>
        <w:spacing w:after="60" w:line="360" w:lineRule="auto"/>
        <w:ind w:firstLine="709"/>
        <w:jc w:val="both"/>
      </w:pPr>
      <w:r>
        <w:rPr>
          <w:rFonts w:ascii="Times New Roman" w:hAnsi="Times New Roman" w:cs="Times New Roman"/>
          <w:sz w:val="24"/>
          <w:szCs w:val="24"/>
        </w:rPr>
        <w:t>Singh, S. et al., 2021. Acute Kidney Injury in Cardiogenic Shock: An Updated Narrative Review. *Journal of Cardiovascular Development and Disease*, 8(8), p.88. https://doi.org/10.3390/jcdd8080088.</w:t>
      </w:r>
    </w:p>
    <w:p>
      <w:pPr>
        <w:spacing w:after="60" w:line="360" w:lineRule="auto"/>
        <w:ind w:firstLine="709"/>
        <w:jc w:val="both"/>
      </w:pPr>
      <w:r>
        <w:rPr>
          <w:rFonts w:ascii="Times New Roman" w:hAnsi="Times New Roman" w:cs="Times New Roman"/>
          <w:sz w:val="24"/>
          <w:szCs w:val="24"/>
        </w:rPr>
        <w:t>Sugamura, K. dan Keaney, J.F., 2011. Reactive oxygen species in cardiovascular disease. *Free Radical Biology and Medicine*, 51(5), pp.978-992. https://doi.org/10.1016/j.freeradbiomed.2011.05.004.</w:t>
      </w:r>
    </w:p>
    <w:p>
      <w:pPr>
        <w:spacing w:after="60" w:line="360" w:lineRule="auto"/>
        <w:ind w:firstLine="709"/>
        <w:jc w:val="both"/>
      </w:pPr>
      <w:r>
        <w:rPr>
          <w:rFonts w:ascii="Times New Roman" w:hAnsi="Times New Roman" w:cs="Times New Roman"/>
          <w:sz w:val="24"/>
          <w:szCs w:val="24"/>
        </w:rPr>
        <w:t>Swirski, F.K. dan Nahrendorf, M., 2013. Leukocyte Behavior in Atherosclerosis, Myocardial Infarction, and Heart Failure. *Science*, 339(6116), pp.161-166. https://doi.org/10.1126/science.1230719.</w:t>
      </w:r>
    </w:p>
    <w:p>
      <w:pPr>
        <w:spacing w:after="60" w:line="360" w:lineRule="auto"/>
        <w:ind w:firstLine="709"/>
        <w:jc w:val="both"/>
      </w:pPr>
      <w:r>
        <w:rPr>
          <w:rFonts w:ascii="Times New Roman" w:hAnsi="Times New Roman" w:cs="Times New Roman"/>
          <w:sz w:val="24"/>
          <w:szCs w:val="24"/>
        </w:rPr>
        <w:t>Tehrani, B.N. et al., 2020. A Standardized and Comprehensive Approach to the Management of Cardiogenic Shock. *JACC: Heart Failure*, 8(11), pp.879-891. https://doi.org/10.1016/j.jchf.2020.09.005.</w:t>
      </w:r>
    </w:p>
    <w:p>
      <w:pPr>
        <w:spacing w:after="60" w:line="360" w:lineRule="auto"/>
        <w:ind w:firstLine="709"/>
        <w:jc w:val="both"/>
      </w:pPr>
      <w:r>
        <w:t>Theofilis, P. et al., 2023. Pathophysiology of Acute Coronary Syndromes,Diagnostic and Treatment Considerations. *Life*, 13(7), p.1543. https://doi.org/10.3390/life13071543.</w:t>
      </w:r>
    </w:p>
    <w:p>
      <w:pPr>
        <w:spacing w:after="60" w:line="360" w:lineRule="auto"/>
        <w:ind w:firstLine="709"/>
        <w:jc w:val="both"/>
      </w:pPr>
      <w:r>
        <w:rPr>
          <w:rFonts w:ascii="Times New Roman" w:hAnsi="Times New Roman" w:cs="Times New Roman"/>
          <w:sz w:val="24"/>
          <w:szCs w:val="24"/>
        </w:rPr>
        <w:t>Thiele, H. et al., 2019. Intraaortic Balloon Pump in Cardiogenic Shock Complicating Acute Myocardial Infarction. *Circulation*, 139(3), pp.395-403. https://doi.org/10.1161/CIRCULATIONAHA.118.038201.</w:t>
      </w:r>
    </w:p>
    <w:p>
      <w:pPr>
        <w:spacing w:after="60" w:line="360" w:lineRule="auto"/>
        <w:ind w:firstLine="709"/>
        <w:jc w:val="both"/>
      </w:pPr>
      <w:r>
        <w:rPr>
          <w:rFonts w:ascii="Times New Roman" w:hAnsi="Times New Roman" w:cs="Times New Roman"/>
          <w:sz w:val="24"/>
          <w:szCs w:val="24"/>
        </w:rPr>
        <w:t>Thiele, H. dan Zeymer, U., 2018. Cardiogenic shock in patients with acute coronary syndromes. Dalam: *Oxford Medicine Online*. Oxford University Press. https://doi.org/10.1093/med/9780199687039.003.0049_update_003.</w:t>
      </w:r>
    </w:p>
    <w:p>
      <w:pPr>
        <w:spacing w:after="60" w:line="360" w:lineRule="auto"/>
        <w:ind w:firstLine="709"/>
        <w:jc w:val="both"/>
      </w:pPr>
      <w:r>
        <w:rPr>
          <w:rFonts w:ascii="Times New Roman" w:hAnsi="Times New Roman" w:cs="Times New Roman"/>
          <w:sz w:val="24"/>
          <w:szCs w:val="24"/>
        </w:rPr>
        <w:t>Thygesen, K. et al., 2018. Fourth Universal Definition of Myocardial Infarction (2018). *Journal of the American College of Cardiology*, 72(18), pp.2231-2264. https://doi.org/10.1016/j.jacc.2018.08.1038.</w:t>
      </w:r>
    </w:p>
    <w:p>
      <w:pPr>
        <w:spacing w:after="60" w:line="360" w:lineRule="auto"/>
        <w:ind w:firstLine="709"/>
        <w:jc w:val="both"/>
      </w:pPr>
      <w:r>
        <w:rPr>
          <w:rFonts w:ascii="Times New Roman" w:hAnsi="Times New Roman" w:cs="Times New Roman"/>
          <w:sz w:val="24"/>
          <w:szCs w:val="24"/>
        </w:rPr>
        <w:t>Timmis, A. et al., 2022. European Society of Cardiology: cardiovascular disease statistics 2021. *European Heart Journal*, 43(8), pp.716-799. https://doi.org/10.1093/eurheartj/ehab892.</w:t>
      </w:r>
    </w:p>
    <w:p>
      <w:pPr>
        <w:spacing w:after="60" w:line="360" w:lineRule="auto"/>
        <w:ind w:firstLine="709"/>
        <w:jc w:val="both"/>
      </w:pPr>
      <w:r>
        <w:rPr>
          <w:rFonts w:ascii="Times New Roman" w:hAnsi="Times New Roman" w:cs="Times New Roman"/>
          <w:sz w:val="24"/>
          <w:szCs w:val="24"/>
        </w:rPr>
        <w:t>Weng, S.F. et al., 2017. Can machine-learning improve cardiovascular risk prediction using routine clinical data? *PLoS ONE*, 12(4), p.e0174944. https://doi.org/10.1371/journal.pone.0174944.</w:t>
      </w:r>
    </w:p>
    <w:p>
      <w:pPr>
        <w:spacing w:after="60" w:line="360" w:lineRule="auto"/>
        <w:ind w:firstLine="709"/>
        <w:jc w:val="both"/>
      </w:pPr>
      <w:r>
        <w:rPr>
          <w:rFonts w:ascii="Times New Roman" w:hAnsi="Times New Roman" w:cs="Times New Roman"/>
          <w:sz w:val="24"/>
          <w:szCs w:val="24"/>
        </w:rPr>
        <w:t>Xie, L. et al., 2024. The prognostic impact of stress hyperglycemia ratio on mortality in cardiogenic shock. *Diabetology &amp; Metabolic Syndrome*, 16(1). https://doi.org/10.1186/s13098-024-01562-y.</w:t>
      </w:r>
    </w:p>
    <w:p>
      <w:pPr>
        <w:spacing w:after="60" w:line="360" w:lineRule="auto"/>
        <w:ind w:firstLine="709"/>
        <w:jc w:val="both"/>
      </w:pPr>
      <w:r>
        <w:rPr>
          <w:rFonts w:ascii="Times New Roman" w:hAnsi="Times New Roman" w:cs="Times New Roman"/>
          <w:sz w:val="24"/>
          <w:szCs w:val="24"/>
        </w:rPr>
        <w:t>Zhou, Y. et al., 2002. Vascular Endothelial Growth Factor Ligands and Receptors That Regulate Human Cytotrophoblast Survival Are Dysregulated in Severe Preeclampsia. *The American Journal of Pathology*, 160(4), pp.1405-1423. https://doi.org/10.1016/s0002-9440(10)62567-9.</w:t>
      </w:r>
    </w:p>
    <w:sectPr>
      <w:pgSz w:w="11906" w:h="16838"/>
      <w:pgMar w:top="1134" w:right="1134" w:bottom="1134" w:left="1134" w:header="720" w:footer="720"/>
    </w:sectPr>
  </w:body>
</w:document>
</file>

<file path=word/fontTable.xml><?xml version="1.0" encoding="utf-8"?>
<w:fonts xmlns:w="http://schemas.openxmlformats.org/wordprocessingml/2006/main">
  <w:font w:name="Times New Roman">
    <w:family w:val="roman"/>
    <w:pitch w:val="variable"/>
  </w:font>
  <w:font w:name="Arial">
    <w:family w:val="swiss"/>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xmlns:mc="http://schemas.openxmlformats.org/markup-compatibility/2006">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9.png"/><Relationship Id="rId9" Type="http://schemas.openxmlformats.org/officeDocument/2006/relationships/image" Target="media/image10.png"/><Relationship Id="rId10" Type="http://schemas.openxmlformats.org/officeDocument/2006/relationships/image" Target="media/image11.png"/><Relationship Id="rId11" Type="http://schemas.openxmlformats.org/officeDocument/2006/relationships/image" Target="media/image12.png"/><Relationship Id="rId12" Type="http://schemas.openxmlformats.org/officeDocument/2006/relationships/image" Target="media/image1.png"/><Relationship Id="rId13" Type="http://schemas.openxmlformats.org/officeDocument/2006/relationships/styles" Target="styles.xml"/><Relationship Id="rId14" Type="http://schemas.openxmlformats.org/officeDocument/2006/relationships/settings" Target="setting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