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keselamatan 0,018455 menghasilkan sensitivitas 98,3%, spesifisitas 26,2%, dan dua negatif palsu.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merupakan manifestasi klinis kritis penyakit jantung koroner dan tetap menjadi penyebab utama kematian akibat penyakit kardiovaskular di seluruh dunia. SKA mencakup spektrum angina tidak stabil, infark miokard dengan elevasi segmen ST (STEMI), dan infark miokard tanpa elevasi segmen ST (NSTEMI), yang dipicu oleh iskemia miokard akut akibat penurunan mendadak aliran darah koroner (Thygesen et al., 2018). Data European Society of Cardiology menunjukkan bahwa penyakit kardiovaskular tetap menjadi penyebab kematian utama di dunia dan SKA berkontribusi besar terhadap morbiditas, mortalitas, dan biaya pelayanan kesehatan (Timmis et al., 2022). Di Indonesia, beban SKA meningkat karena tingginya faktor risiko tradisional dan keterbatasan akses terhadap pelayanan kesehatan.</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t>Kriteria Objektif/Pengodean</w:t>
            </w:r>
            <w:r>
              <w:rPr>
                <w:rFonts w:ascii="Times New Roman" w:hAnsi="Times New Roman" w:cs="Times New Roman"/>
                <w:b/>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set data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proporsi data hilang rendah hingga sedang. Variabel dengan proporsi data hilang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drawing>
          <wp:inline>
            <wp:extent cx="5040000" cy="6310617"/>
            <wp:docPr id="22" name="Picture 22"/>
            <wp:cNvGraphicFramePr>
              <a:graphicFrameLocks noChangeAspect="1"/>
            </wp:cNvGraphicFramePr>
            <a:graphic>
              <a:graphicData uri="http://schemas.openxmlformats.org/drawingml/2006/picture">
                <pic:pic>
                  <pic:nvPicPr>
                    <pic:cNvPr id="0" name="strobe_flowchart_v3.png"/>
                    <pic:cNvPicPr/>
                  </pic:nvPicPr>
                  <pic:blipFill>
                    <a:blip r:embed="rId32"/>
                    <a:stretch>
                      <a:fillRect/>
                    </a:stretch>
                  </pic:blipFill>
                  <pic:spPr>
                    <a:xfrm>
                      <a:off x="0" y="0"/>
                      <a:ext cx="5040000" cy="6310617"/>
                    </a:xfrm>
                    <a:prstGeom prst="rect"/>
                  </pic:spPr>
                </pic:pic>
              </a:graphicData>
            </a:graphic>
          </wp:inline>
        </w:drawing>
      </w:r>
    </w:p>
    <w:p>
      <w:r/>
    </w:p>
    <w:p>
      <w:r>
        <w:t xml:space="preserve">Gambar 2.1 Diagram alur seleksi pasien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 xml:space="preserve">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pengodean diagnosis; tindakan CABG dalam episode perawatan yang sama; pulang atas permintaan sendiri; dan ketidaklengkapan data. Kasus Killip IV yang terlewat pada skrining awal diperiksa silang kembali; apabila terkonfirmasi telah mengalami syok saat admisi, kasus tersebut digabungkan ke kategori syok/hipotensi saat admisi. Setelah penyaringan awal, tersedia 1.573 pasien dengan data terstruktur.</w:t>
      </w:r>
    </w:p>
    <w:p>
      <w:r>
        <w:t xml:space="preserve">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Pada pemeriksaan akhir, satu rekam yang terlewat pada penyaringan sebelumnya diperiksa silang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Pada sebagian pasien, data ekokardiografi saat admisi tidak tercatat dalam RME karena ekokardiografi di sisi tempat tidur belum dilakukan ketika pasien diterima di IGD. Variasi praktik klinis di IGD, termasuk belum rutinnya POCUS ekokardiografi pada awal admisi dan perbedaan kelengkapan dokumentasi SOAP, berkontribusi terhadap ketidaktersediaan parameter ekokardiografi yang diperlukan untuk analisis. Kondisi ini merupakan salah satu alasan eksklusi pada tahap kendali mutu data.</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meninggal berusia lebih tua dan memiliki kelas Killip yang lebih berat saat admisi. Proporsi STEMI pada kelompok meninggal justru lebih rendah daripada kelompok hidup (62,6% dibandingkan 69,2%), dan perbedaannya tidak bermakna secara statistik (p=0,1736). Parameter hemodinamik dan laboratorium juga menunjukkan perbedaan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drawing>
          <wp:inline>
            <wp:extent cx="5040000" cy="5012708"/>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40000" cy="5012708"/>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Model Random Forest menunjukkan diskriminasi yang baik. Rerata AUC dari sepuluh pengulangan validasi silang adalah 0,8157 dengan simpangan baku 0,0075 dan rentang 0,8024 sampai 0,8247. AUC vektor prediksi out-of-fold yang dirata-ratakan dari sepuluh pengulangan adalah 0,8189.</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pPr>
        <w:spacing w:lineRule="auto" w:line="360"/>
        <w:jc w:val="both"/>
      </w:pPr>
      <w:r>
        <w:rPr>
          <w:rFonts w:ascii="Times New Roman" w:hAnsi="Times New Roman" w:cs="Times New Roman"/>
          <w:b/>
          <w:i w:val="0"/>
          <w:sz w:val="24"/>
          <w:szCs w:val="24"/>
        </w:rPr>
        <w:t>3.2.2 Pemilihan Ambang Batas Optimal</w:t>
      </w:r>
    </w:p>
    <w:p>
      <w:r>
        <w:br/>
      </w:r>
      <w:r>
        <w:drawing>
          <wp:inline>
            <wp:extent cx="5040000" cy="3369478"/>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3369478"/>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keselamatan 0,018455 dipilih untuk membatasi negatif palsu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spacing w:lineRule="auto" w:line="360"/>
        <w:jc w:val="both"/>
      </w:pPr>
      <w:r>
        <w:rPr>
          <w:rFonts w:ascii="Times New Roman" w:hAnsi="Times New Roman" w:cs="Times New Roman"/>
          <w:b/>
          <w:i w:val="0"/>
          <w:sz w:val="24"/>
          <w:szCs w:val="24"/>
        </w:rPr>
        <w:t>3.2.3 Analisis Matriks Konfusi</w:t>
      </w:r>
    </w:p>
    <w:p>
      <w:r>
        <w:br/>
      </w:r>
      <w:r>
        <w:drawing>
          <wp:inline>
            <wp:extent cx="5040000" cy="403911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40000" cy="4039113"/>
                    </a:xfrm>
                    <a:prstGeom prst="rect"/>
                  </pic:spPr>
                </pic:pic>
              </a:graphicData>
            </a:graphic>
          </wp:inline>
        </w:drawing>
      </w:r>
      <w:r>
        <w:br/>
      </w:r>
    </w:p>
    <w:p>
      <w:pPr>
        <w:spacing w:lineRule="auto" w:line="360"/>
        <w:ind w:firstLine="720"/>
        <w:jc w:val="both"/>
      </w:pPr>
      <w:r>
        <w:t>Matriks konfusi pada ambang keselamatan disusun dari prediksi out-of-fold rerata seluruh 1.524 pasien. Model mengidentifikasi 113 dari 115 kematian (sensitivitas 98,3%) dan 369 dari 1.409 pasien hidup (spesifisitas 26,2%). Terdapat 2 negatif palsu dan 1.040 positif palsu; total pasien yang diklasifikasikan berisiko adalah 1.153. Hasil ini menggambarkan kompromi internal antara sensitivitas dan spesifisitas, bukan jaminan keamanan klinis.</w:t>
      </w:r>
    </w:p>
    <w:p>
      <w:pPr>
        <w:spacing w:lineRule="auto" w:line="360" w:before="60" w:after="120"/>
        <w:jc w:val="center"/>
      </w:pPr>
      <w:r>
        <w:t>Gambar 3.3 Matriks Konfusi Model Random Forest pada Ambang Batas Safety 0,018455</w:t>
      </w:r>
    </w:p>
    <w:p>
      <w:pPr>
        <w:spacing w:lineRule="auto" w:line="360"/>
        <w:jc w:val="both"/>
      </w:pPr>
      <w:r>
        <w:rPr>
          <w:rFonts w:ascii="Times New Roman" w:hAnsi="Times New Roman" w:cs="Times New Roman"/>
          <w:b/>
          <w:i w:val="0"/>
          <w:sz w:val="24"/>
          <w:szCs w:val="24"/>
        </w:rPr>
        <w:t>3.2.4 Analisis Kalibrasi</w:t>
      </w:r>
    </w:p>
    <w:p>
      <w:r>
        <w:br/>
      </w:r>
      <w:r>
        <w:drawing>
          <wp:inline>
            <wp:extent cx="5040000" cy="4312202"/>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40000" cy="4312202"/>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spacing w:lineRule="auto" w:line="360"/>
        <w:ind w:firstLine="720"/>
        <w:jc w:val="both"/>
      </w:pPr>
      <w:r>
        <w:t>Gambar 3.4 menunjukkan kurva kalibrasi model tanpa koreksi Platt scaling (prediksi out-of-fold mentah).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r>
        <w:br/>
      </w:r>
      <w:r>
        <w:drawing>
          <wp:inline>
            <wp:extent cx="5040000" cy="3678152"/>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3678152"/>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positif palsu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r>
        <w:br/>
      </w:r>
      <w:r>
        <w:drawing>
          <wp:inline>
            <wp:extent cx="5040000" cy="4411745"/>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40000" cy="4411745"/>
                    </a:xfrm>
                    <a:prstGeom prst="rect"/>
                  </pic:spPr>
                </pic:pic>
              </a:graphicData>
            </a:graphic>
          </wp:inline>
        </w:drawing>
      </w:r>
      <w:r>
        <w:br/>
      </w:r>
    </w:p>
    <w:p>
      <w:pPr>
        <w:spacing w:lineRule="auto" w:line="360"/>
        <w:ind w:firstLine="720"/>
        <w:jc w:val="both"/>
      </w:pPr>
      <w:r>
        <w:t>Mengingat ketidakseimbangan kelas dengan prevalensi mortalitas 7,5%, kurva presisi-recall memberikan informasi tambahan terhadap kurva ROC. AUPRC model adalah 0,301, lebih tinggi daripada baseline tanpa keterampilan sebesar 0,075.</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r>
        <w:br/>
      </w:r>
      <w:r>
        <w:drawing>
          <wp:inline>
            <wp:extent cx="5040000" cy="3393409"/>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40000" cy="3393409"/>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kepentingan fitur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drawing>
          <wp:inline>
            <wp:extent cx="5040000" cy="2929442"/>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40000" cy="2929442"/>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r>
        <w:br/>
      </w:r>
      <w:r>
        <w:drawing>
          <wp:inline>
            <wp:extent cx="5040000" cy="3329561"/>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3329561"/>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r>
        <w:br/>
      </w:r>
      <w:r>
        <w:drawing>
          <wp:inline>
            <wp:extent cx="5040000" cy="2181239"/>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2181239"/>
                    </a:xfrm>
                    <a:prstGeom prst="rect"/>
                  </pic:spPr>
                </pic:pic>
              </a:graphicData>
            </a:graphic>
          </wp:inline>
        </w:drawing>
      </w:r>
      <w:r>
        <w:br/>
      </w:r>
    </w:p>
    <w:p>
      <w:pPr>
        <w:spacing w:lineRule="auto" w:line="360"/>
        <w:ind w:firstLine="720"/>
        <w:jc w:val="both"/>
      </w:pPr>
      <w:r>
        <w:t>Probabilitas prediksi Random Forest digunakan untuk membentuk tiga strata risiko internal: risiko rendah dengan probabilitas &lt;0,018455, risiko sedang dengan probabilitas 0,018455 sampai &lt;0,103981, dan risiko tinggi dengan probabilitas &gt;=0,103981. Label ward, HCU, dan ICU digunakan sebagai label konseptual dan bukan rekomendasi penempatan klinis otomatis.</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r>
        <w:br/>
      </w:r>
      <w:r>
        <w:drawing>
          <wp:inline>
            <wp:extent cx="5040000" cy="5184387"/>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40000" cy="5184387"/>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0,742 untuk luaran komposit, dan 0,670 untuk syok kardiogenik baru.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set data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(ambang keselamatan)</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(ambang keselamatan)</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t>Waktu Pelatihan (detik)</w:t>
            </w:r>
            <w:r>
              <w:rPr>
                <w:rFonts w:ascii="Times New Roman" w:hAnsi="Times New Roman" w:cs="Times New Roman"/>
                <w:sz w:val="24"/>
                <w:szCs w:val="24"/>
              </w:rPr>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r>
        <w:br/>
      </w:r>
      <w:r>
        <w:drawing>
          <wp:inline>
            <wp:extent cx="5040000" cy="3626030"/>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40000" cy="3626030"/>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kepentingan fitur.</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negatif palsu.</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 yang sedang, yaitu 1.524 pasien dengan 115 kematian, mendukung pemilihan model yang relatif hemat parameter. Random Forest dapat menangkap interaksi tanpa transformasi eksplisit dan menunjukkan performa internal yang lebih baik daripada XGBoost. Namun, pemilihan algoritma tetap dapat dipengaruhi oleh ruang hiperparameter dan prosedur penalaan; tanpa validasi silang tersarang,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set data.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pembelajaran mendalam untuk prediksi mortalitas pada pasien SKA dan melaporkan AUC 0,810, yang sebanding dengan model Random Forest kami. Namun, model pembelajaran mendalam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kepentingan fitur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0,742, yang berada di antara performa untuk mortalitas (0,819) dan SKG (0,670). Analisis luaran komposit bersifat eksploratif karena menggabungkan komponen dengan karakteristik prediktif dan implikasi klinis yang berbeda.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pusat tunggal.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kejadian yang terbatas (115 mortalitas). Meskipun memadai untuk pengembangan model dengan 13 fitur (10 kejadian per variabel),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(data hilang) pada beberapa variabel. Meskipun teknik imputasi telah digunakan, data hilang tetap dapat menimbulkan bias, terutama jika mekanisme data hilang tidak completely at random (MCAR). Variabel dengan proporsi data hilang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Paradoks efek terapi. Pasien yang diidentifikasi sebagai risiko tinggi mungkin menerima tatalaksana yang lebih agresif, yang dapat mengubah luaran aktual dan menciptakan bias yang dikenal sebagai paradoks terapi.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(ketidakseimbangan kelas). Proporsi mortalitas 7,5% menyebabkan set data tidak seimbang, yang dapat mempengaruhi performa model, terutama pada metrik seperti presisi.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pembelajaran mendalam, model ensemble dari 500 pohon tetap sulit dijelaskan secara individual. Analisis kepentingan fitur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dan (3) analisis keadilan model pada subkelompok jenis kelamin, usia, dan komorbiditas perlu dilaporkan lebih terperinci. Penelitian lanjutan direncanakan untuk mengatasi keterbatasan tersebut.</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Tiga belas prediktor dalam model mortalitas in-hospital mencakup fungsi ginjal (eGFR dan ureum), parameter ekokardiografi (LVOT VTI, LVEF, dan TAPSE), parameter darah (hemoglobin, APTT, dan kalium), usia, tekanan darah sistolik, denyut jantung, laju napas, dan kelas Killip. Berdasarkan Gini importance, eGFR dan ureum merupakan dua prediktor paling dominan. Kepentingan fitur menunjukkan kontribusi prediktif, bukan hubungan kausal atau kemaknaan statistik individual.</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negatif palsu.</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mortalitas (AUC 0,819) lebih baik daripada untuk syok kardiogenik baru (AUC 0,670) dan luaran komposit (AUC 0,742). Analisis luaran sekunder bersifat eksploratif dan tidak mengubah fokus utama penelitian.</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lingkungan klinis waktu nyata.</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peringatan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pp.3720-3826.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r>
        <w:t>Collins, G.S. et al., 2024. TRIPOD+AI statement: updated guidance for reporting clinical prediction models that use regression or machine learning methods. *BMJ*, 385, p.e078378. https://doi.org/10.1136/bmj-2023-078378.</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Cardiovascular Imaging*, 16(3), pp.233-271. https://doi.org/10.1093/ehjci/jev014.</w:t>
      </w:r>
    </w:p>
    <w:p>
      <w:pPr>
        <w:spacing w:after="60" w:line="360" w:lineRule="auto"/>
        <w:ind w:firstLine="709"/>
        <w:jc w:val="both"/>
      </w:pPr>
      <w:r>
        <w:t>Libby, P., 2021. Inflammation in Atherosclerosis: 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 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p>
      <w:r>
        <w:br w:type="page"/>
      </w:r>
    </w:p>
    <w:p>
      <w:pPr>
        <w:jc w:val="center"/>
      </w:pPr>
      <w:r>
        <w:rPr>
          <w:b/>
        </w:rPr>
        <w:t>LAMPIRAN: PETA PELAPORAN TRIPOD+AI</w:t>
      </w:r>
    </w:p>
    <w:p>
      <w:r>
        <w:t>Checklist ini memetakan 27 item utama TRIPOD+AI ke lokasi pelaporan dalam tesis.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tcPr>
          <w:p>
            <w:r>
              <w:t>1. Judul</w:t>
            </w:r>
          </w:p>
        </w:tc>
        <w:tc>
          <w:tcPr>
            <w:tcW w:type="dxa" w:w="4819"/>
          </w:tcPr>
          <w:p>
            <w:r>
              <w:t>Judul dan abstrak menyebut model prediksi, luaran, populasi, dan validasi internal.</w:t>
            </w:r>
          </w:p>
        </w:tc>
      </w:tr>
      <w:tr>
        <w:tc>
          <w:tcPr>
            <w:tcW w:type="dxa" w:w="4819"/>
          </w:tcPr>
          <w:p>
            <w:r>
              <w:t>2. Abstrak</w:t>
            </w:r>
          </w:p>
        </w:tc>
        <w:tc>
          <w:tcPr>
            <w:tcW w:type="dxa" w:w="4819"/>
          </w:tcPr>
          <w:p>
            <w:r>
              <w:t>Abstrak terstruktur memuat desain, N, kejadian, prediktor, validasi, dan performa.</w:t>
            </w:r>
          </w:p>
        </w:tc>
      </w:tr>
      <w:tr>
        <w:tc>
          <w:tcPr>
            <w:tcW w:type="dxa" w:w="4819"/>
          </w:tcPr>
          <w:p>
            <w:r>
              <w:t>3. Latar belakang</w:t>
            </w:r>
          </w:p>
        </w:tc>
        <w:tc>
          <w:tcPr>
            <w:tcW w:type="dxa" w:w="4819"/>
          </w:tcPr>
          <w:p>
            <w:r>
              <w:t>Bagian 1.1 menjelaskan konteks klinis dan kebutuhan model.</w:t>
            </w:r>
          </w:p>
        </w:tc>
      </w:tr>
      <w:tr>
        <w:tc>
          <w:tcPr>
            <w:tcW w:type="dxa" w:w="4819"/>
          </w:tcPr>
          <w:p>
            <w:r>
              <w:t>4. Tujuan</w:t>
            </w:r>
          </w:p>
        </w:tc>
        <w:tc>
          <w:tcPr>
            <w:tcW w:type="dxa" w:w="4819"/>
          </w:tcPr>
          <w:p>
            <w:r>
              <w:t>Bagian 1.3 memuat tujuan pengembangan dan validasi internal.</w:t>
            </w:r>
          </w:p>
        </w:tc>
      </w:tr>
      <w:tr>
        <w:tc>
          <w:tcPr>
            <w:tcW w:type="dxa" w:w="4819"/>
          </w:tcPr>
          <w:p>
            <w:r>
              <w:t>5. Sumber data</w:t>
            </w:r>
          </w:p>
        </w:tc>
        <w:tc>
          <w:tcPr>
            <w:tcW w:type="dxa" w:w="4819"/>
          </w:tcPr>
          <w:p>
            <w:r>
              <w:t>Bagian 2.2 sampai 2.3: RME rumah sakit dan periode 2024 sampai 2025.</w:t>
            </w:r>
          </w:p>
        </w:tc>
      </w:tr>
      <w:tr>
        <w:tc>
          <w:tcPr>
            <w:tcW w:type="dxa" w:w="4819"/>
          </w:tcPr>
          <w:p>
            <w:r>
              <w:t>6. Partisipan</w:t>
            </w:r>
          </w:p>
        </w:tc>
        <w:tc>
          <w:tcPr>
            <w:tcW w:type="dxa" w:w="4819"/>
          </w:tcPr>
          <w:p>
            <w:r>
              <w:t>Bagian 2.3 sampai 2.4: populasi, inklusi, eksklusi, dan alur seleksi.</w:t>
            </w:r>
          </w:p>
        </w:tc>
      </w:tr>
      <w:tr>
        <w:tc>
          <w:tcPr>
            <w:tcW w:type="dxa" w:w="4819"/>
          </w:tcPr>
          <w:p>
            <w:r>
              <w:t>7. Luaran</w:t>
            </w:r>
          </w:p>
        </w:tc>
        <w:tc>
          <w:tcPr>
            <w:tcW w:type="dxa" w:w="4819"/>
          </w:tcPr>
          <w:p>
            <w:r>
              <w:t>Bagian 2.6 dan Tabel 2.1: definisi, waktu, sumber, dan pengodean mortalitas.</w:t>
            </w:r>
          </w:p>
        </w:tc>
      </w:tr>
      <w:tr>
        <w:tc>
          <w:tcPr>
            <w:tcW w:type="dxa" w:w="4819"/>
          </w:tcPr>
          <w:p>
            <w:r>
              <w:t>8. Prediktor</w:t>
            </w:r>
          </w:p>
        </w:tc>
        <w:tc>
          <w:tcPr>
            <w:tcW w:type="dxa" w:w="4819"/>
          </w:tcPr>
          <w:p>
            <w:r>
              <w:t>Bagian 2.5 dan 2.7: definisi, satuan, sumber, dan waktu 13 prediktor.</w:t>
            </w:r>
          </w:p>
        </w:tc>
      </w:tr>
      <w:tr>
        <w:tc>
          <w:tcPr>
            <w:tcW w:type="dxa" w:w="4819"/>
          </w:tcPr>
          <w:p>
            <w:r>
              <w:t>9. Ukuran sampel</w:t>
            </w:r>
          </w:p>
        </w:tc>
        <w:tc>
          <w:tcPr>
            <w:tcW w:type="dxa" w:w="4819"/>
          </w:tcPr>
          <w:p>
            <w:r>
              <w:t>Bagian 2.3 dan 4.10: N=1.524, 115 kejadian, serta keterbatasannya.</w:t>
            </w:r>
          </w:p>
        </w:tc>
      </w:tr>
      <w:tr>
        <w:tc>
          <w:tcPr>
            <w:tcW w:type="dxa" w:w="4819"/>
          </w:tcPr>
          <w:p>
            <w:r>
              <w:t>10. Data hilang</w:t>
            </w:r>
          </w:p>
        </w:tc>
        <w:tc>
          <w:tcPr>
            <w:tcW w:type="dxa" w:w="4819"/>
          </w:tcPr>
          <w:p>
            <w:r>
              <w:t>Bagian 2.8 sampai 2.9: imputasi median dipelajari pada setiap lipatan pelatihan.</w:t>
            </w:r>
          </w:p>
        </w:tc>
      </w:tr>
      <w:tr>
        <w:tc>
          <w:tcPr>
            <w:tcW w:type="dxa" w:w="4819"/>
          </w:tcPr>
          <w:p>
            <w:r>
              <w:t>11. Pengembangan model</w:t>
            </w:r>
          </w:p>
        </w:tc>
        <w:tc>
          <w:tcPr>
            <w:tcW w:type="dxa" w:w="4819"/>
          </w:tcPr>
          <w:p>
            <w:r>
              <w:t>Bagian 2.9: algoritma, hiperparameter, prapemrosesan, dan fitting.</w:t>
            </w:r>
          </w:p>
        </w:tc>
      </w:tr>
      <w:tr>
        <w:tc>
          <w:tcPr>
            <w:tcW w:type="dxa" w:w="4819"/>
          </w:tcPr>
          <w:p>
            <w:r>
              <w:t>12. Validasi internal</w:t>
            </w:r>
          </w:p>
        </w:tc>
        <w:tc>
          <w:tcPr>
            <w:tcW w:type="dxa" w:w="4819"/>
          </w:tcPr>
          <w:p>
            <w:r>
              <w:t>Bagian 2.9: 10 seed, 5-fold StratifiedKFold, dan prediksi out-of-fold.</w:t>
            </w:r>
          </w:p>
        </w:tc>
      </w:tr>
      <w:tr>
        <w:tc>
          <w:tcPr>
            <w:tcW w:type="dxa" w:w="4819"/>
          </w:tcPr>
          <w:p>
            <w:r>
              <w:t>13. Ukuran performa</w:t>
            </w:r>
          </w:p>
        </w:tc>
        <w:tc>
          <w:tcPr>
            <w:tcW w:type="dxa" w:w="4819"/>
          </w:tcPr>
          <w:p>
            <w:r>
              <w:t>Bagian 2.9 dan 3.2: AUC, AUPRC, Brier, sensitivitas, dan spesifisitas.</w:t>
            </w:r>
          </w:p>
        </w:tc>
      </w:tr>
      <w:tr>
        <w:tc>
          <w:tcPr>
            <w:tcW w:type="dxa" w:w="4819"/>
          </w:tcPr>
          <w:p>
            <w:r>
              <w:t>14. Pembentukan kelompok risiko</w:t>
            </w:r>
          </w:p>
        </w:tc>
        <w:tc>
          <w:tcPr>
            <w:tcW w:type="dxa" w:w="4819"/>
          </w:tcPr>
          <w:p>
            <w:r>
              <w:t>Bagian 2.9 dan 3.8: definisi ambang keselamatan dan Youden.</w:t>
            </w:r>
          </w:p>
        </w:tc>
      </w:tr>
      <w:tr>
        <w:tc>
          <w:tcPr>
            <w:tcW w:type="dxa" w:w="4819"/>
          </w:tcPr>
          <w:p>
            <w:r>
              <w:t>15. Analisis tambahan</w:t>
            </w:r>
          </w:p>
        </w:tc>
        <w:tc>
          <w:tcPr>
            <w:tcW w:type="dxa" w:w="4819"/>
          </w:tcPr>
          <w:p>
            <w:r>
              <w:t>Bagian 3.5 sampai 3.7: DCA, luaran sekunder, XGBoost, dan GRACE 2.0.</w:t>
            </w:r>
          </w:p>
        </w:tc>
      </w:tr>
      <w:tr>
        <w:tc>
          <w:tcPr>
            <w:tcW w:type="dxa" w:w="4819"/>
          </w:tcPr>
          <w:p>
            <w:r>
              <w:t>16. Perangkat analisis</w:t>
            </w:r>
          </w:p>
        </w:tc>
        <w:tc>
          <w:tcPr>
            <w:tcW w:type="dxa" w:w="4819"/>
          </w:tcPr>
          <w:p>
            <w:r>
              <w:t>Bagian 2.9 dan berkas analisis menyebut algoritma, seed, serta pustaka.</w:t>
            </w:r>
          </w:p>
        </w:tc>
      </w:tr>
      <w:tr>
        <w:tc>
          <w:tcPr>
            <w:tcW w:type="dxa" w:w="4819"/>
          </w:tcPr>
          <w:p>
            <w:r>
              <w:t>17. Protokol dan registrasi</w:t>
            </w:r>
          </w:p>
        </w:tc>
        <w:tc>
          <w:tcPr>
            <w:tcW w:type="dxa" w:w="4819"/>
          </w:tcPr>
          <w:p>
            <w:r>
              <w:t>Status protokol/registrasi tidak tersedia; keterbatasan pelaporan dinyatakan.</w:t>
            </w:r>
          </w:p>
        </w:tc>
      </w:tr>
      <w:tr>
        <w:tc>
          <w:tcPr>
            <w:tcW w:type="dxa" w:w="4819"/>
          </w:tcPr>
          <w:p>
            <w:r>
              <w:t>18. Sains terbuka</w:t>
            </w:r>
          </w:p>
        </w:tc>
        <w:tc>
          <w:tcPr>
            <w:tcW w:type="dxa" w:w="4819"/>
          </w:tcPr>
          <w:p>
            <w:r>
              <w:t>Dokumentasi analisis tersedia; data individual dibatasi karena kerahasiaan pasien.</w:t>
            </w:r>
          </w:p>
        </w:tc>
      </w:tr>
      <w:tr>
        <w:tc>
          <w:tcPr>
            <w:tcW w:type="dxa" w:w="4819"/>
          </w:tcPr>
          <w:p>
            <w:r>
              <w:t>19. Keterlibatan pasien/publik</w:t>
            </w:r>
          </w:p>
        </w:tc>
        <w:tc>
          <w:tcPr>
            <w:tcW w:type="dxa" w:w="4819"/>
          </w:tcPr>
          <w:p>
            <w:r>
              <w:t>Tidak dilakukan karena desain retrospektif berbasis RME.</w:t>
            </w:r>
          </w:p>
        </w:tc>
      </w:tr>
      <w:tr>
        <w:tc>
          <w:tcPr>
            <w:tcW w:type="dxa" w:w="4819"/>
          </w:tcPr>
          <w:p>
            <w:r>
              <w:t>20. Alur partisipan</w:t>
            </w:r>
          </w:p>
        </w:tc>
        <w:tc>
          <w:tcPr>
            <w:tcW w:type="dxa" w:w="4819"/>
          </w:tcPr>
          <w:p>
            <w:r>
              <w:t>Bagian 3.1 dan Gambar 2.1 memuat seluruh tahap seleksi dan jumlah pasien.</w:t>
            </w:r>
          </w:p>
        </w:tc>
      </w:tr>
      <w:tr>
        <w:tc>
          <w:tcPr>
            <w:tcW w:type="dxa" w:w="4819"/>
          </w:tcPr>
          <w:p>
            <w:r>
              <w:t>21. Karakteristik partisipan</w:t>
            </w:r>
          </w:p>
        </w:tc>
        <w:tc>
          <w:tcPr>
            <w:tcW w:type="dxa" w:w="4819"/>
          </w:tcPr>
          <w:p>
            <w:r>
              <w:t>Tabel 3.1 dan 3.2 memuat karakteristik kohort dan subkelompok.</w:t>
            </w:r>
          </w:p>
        </w:tc>
      </w:tr>
      <w:tr>
        <w:tc>
          <w:tcPr>
            <w:tcW w:type="dxa" w:w="4819"/>
          </w:tcPr>
          <w:p>
            <w:r>
              <w:t>22. Pengembangan model</w:t>
            </w:r>
          </w:p>
        </w:tc>
        <w:tc>
          <w:tcPr>
            <w:tcW w:type="dxa" w:w="4819"/>
          </w:tcPr>
          <w:p>
            <w:r>
              <w:t>Bagian 3.2 sampai 3.5 memuat hasil model, fitur, ambang, dan kalibrasi.</w:t>
            </w:r>
          </w:p>
        </w:tc>
      </w:tr>
      <w:tr>
        <w:tc>
          <w:tcPr>
            <w:tcW w:type="dxa" w:w="4819"/>
          </w:tcPr>
          <w:p>
            <w:r>
              <w:t>23. Spesifikasi model</w:t>
            </w:r>
          </w:p>
        </w:tc>
        <w:tc>
          <w:tcPr>
            <w:tcW w:type="dxa" w:w="4819"/>
          </w:tcPr>
          <w:p>
            <w:r>
              <w:t>Bagian 2.9 dan berkas analisis memuat 13 fitur dan hiperparameter lengkap.</w:t>
            </w:r>
          </w:p>
        </w:tc>
      </w:tr>
      <w:tr>
        <w:tc>
          <w:tcPr>
            <w:tcW w:type="dxa" w:w="4819"/>
          </w:tcPr>
          <w:p>
            <w:r>
              <w:t>24. Performa model</w:t>
            </w:r>
          </w:p>
        </w:tc>
        <w:tc>
          <w:tcPr>
            <w:tcW w:type="dxa" w:w="4819"/>
          </w:tcPr>
          <w:p>
            <w:r>
              <w:t>Bagian 3.2 sampai 3.7 memuat estimasi, ketidakpastian, dan pembanding.</w:t>
            </w:r>
          </w:p>
        </w:tc>
      </w:tr>
      <w:tr>
        <w:tc>
          <w:tcPr>
            <w:tcW w:type="dxa" w:w="4819"/>
          </w:tcPr>
          <w:p>
            <w:r>
              <w:t>25. Keterbatasan</w:t>
            </w:r>
          </w:p>
        </w:tc>
        <w:tc>
          <w:tcPr>
            <w:tcW w:type="dxa" w:w="4819"/>
          </w:tcPr>
          <w:p>
            <w:r>
              <w:t>Bagian 4.10 membahas bias, data hilang, pusat tunggal, dan validasi eksternal.</w:t>
            </w:r>
          </w:p>
        </w:tc>
      </w:tr>
      <w:tr>
        <w:tc>
          <w:tcPr>
            <w:tcW w:type="dxa" w:w="4819"/>
          </w:tcPr>
          <w:p>
            <w:r>
              <w:t>26. Interpretasi</w:t>
            </w:r>
          </w:p>
        </w:tc>
        <w:tc>
          <w:tcPr>
            <w:tcW w:type="dxa" w:w="4819"/>
          </w:tcPr>
          <w:p>
            <w:r>
              <w:t>Bagian 4.1 sampai 4.9 menafsirkan hasil tanpa mengklaim kesiapan klinis.</w:t>
            </w:r>
          </w:p>
        </w:tc>
      </w:tr>
      <w:tr>
        <w:tc>
          <w:tcPr>
            <w:tcW w:type="dxa" w:w="4819"/>
          </w:tcPr>
          <w:p>
            <w:r>
              <w:t>27. Implikasi</w:t>
            </w:r>
          </w:p>
        </w:tc>
        <w:tc>
          <w:tcPr>
            <w:tcW w:type="dxa" w:w="4819"/>
          </w:tcPr>
          <w:p>
            <w:r>
              <w:t>Bagian 5.2 memuat validasi eksternal, studi prospektif, dan studi dampak.</w:t>
            </w:r>
          </w:p>
        </w:tc>
      </w:tr>
    </w:tbl>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