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br/>
      </w:r>
      <w:r>
        <w:drawing>
          <wp:inline>
            <wp:extent cx="5040000" cy="6109863"/>
            <wp:docPr id="1" name="Picture 1"/>
            <wp:cNvGraphicFramePr>
              <a:graphicFrameLocks noChangeAspect="1"/>
            </wp:cNvGraphicFramePr>
            <a:graphic>
              <a:graphicData uri="http://schemas.openxmlformats.org/drawingml/2006/picture">
                <pic:pic>
                  <pic:nvPicPr>
                    <pic:cNvPr id="0" name="strobe_flowchart.png"/>
                    <pic:cNvPicPr/>
                  </pic:nvPicPr>
                  <pic:blipFill>
                    <a:blip r:embed="rId30"/>
                    <a:stretch>
                      <a:fillRect/>
                    </a:stretch>
                  </pic:blipFill>
                  <pic:spPr>
                    <a:xfrm>
                      <a:off x="0" y="0"/>
                      <a:ext cx="5040000" cy="6109863"/>
                    </a:xfrm>
                    <a:prstGeom prst="rect"/>
                  </pic:spPr>
                </pic:pic>
              </a:graphicData>
            </a:graphic>
          </wp:inline>
        </w:drawing>
      </w:r>
      <w:r>
        <w:br/>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w:t>
      </w:r>
    </w:p>
    <w:p>
      <w:r>
        <w:t xml:space="preserve">Dari total 1.573 pasien yang tercatat dalam registry, dilakukan seleksi berdasarkan kriteria yang telah ditetapkan (Gambar 2.1). Sebanyak 48 pasien dikeluarkan pada tahap pertama (pat_exclude=True) karena data prediktor kunci tidak dapat diekstraksi secara memadai dari rekam medis, data ekokardiografi awal (LVEF, TAPSE, LVOT VTI) tidak tercatat lengkap, pasien pulang atas permintaan sendiri sebelum outcome dapat dievaluasi, atau pasien dirujuk dari rumah sakit lain dengan kondisi yang sudah ditatalaksana lebih dari 24 jam sebelumnya. Dari 48 pasien yang dikeluarkan, 15 di antaranya meninggal selama perawatan. Ketidaklengkapan data, khususnya parameter ekokardiografi dan hemodinamik, lebih sering ditemukan pada data yang dikumpulkan oleh dokter non-staf yang memiliki variasi praktik dokumentasi lebih luas di setting IGD dengan beban kerja tinggi; pada registry ini dr_TM dan dr_NP berkontribusi pada 11 pasien dengan tingkat missing data ekokardiografi yang jauh lebih tinggi (LVEF 36%, LVOT VTI 73%, TAPSE 36%) dibandingkan keseluruhan populasi. Pada tahap kedua, satu pasien dengan Killip IV (syok kardiogenik yang sudah manifes saat presentasi awal) juga tidak diikutsertakan karena model ini bertujuan memprediksi mortalitas pada pasien yang belum berada dalam keadaan syok, sehingga bersifat prediktif, bukan diagnostik terhadap kondisi yang sudah jelas.</w:t>
      </w:r>
    </w:p>
    <w:p>
      <w:r>
        <w:t xml:space="preserve">Setelah proses seleksi ini,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902303"/>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902303"/>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3369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040000" cy="4336916"/>
                    </a:xfrm>
                    <a:prstGeom prst="rect"/>
                  </pic:spPr>
                </pic:pic>
              </a:graphicData>
            </a:graphic>
          </wp:inline>
        </w:drawing>
      </w:r>
      <w:r>
        <w:br/>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before="60" w:after="120"/>
        <w:jc w:val="center"/>
      </w:pPr>
      <w:r>
        <w:t>Gambar 3.3 Matriks Konfusi Model Random Forest pada Ambang Batas Safety 0,018455</w:t>
      </w:r>
    </w:p>
    <w:p>
      <w:r>
        <w:br/>
      </w:r>
      <w:r>
        <w:drawing>
          <wp:inlin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40000" cy="5040000"/>
                    </a:xfrm>
                    <a:prstGeom prst="rect"/>
                  </pic:spPr>
                </pic:pic>
              </a:graphicData>
            </a:graphic>
          </wp:inline>
        </w:drawing>
      </w:r>
      <w:r>
        <w:br/>
      </w:r>
    </w:p>
    <w:p>
      <w:pPr>
        <w:spacing w:lineRule="auto" w:line="360"/>
        <w:jc w:val="both"/>
      </w:pPr>
      <w:r>
        <w:rPr>
          <w:rFonts w:ascii="Times New Roman" w:hAnsi="Times New Roman" w:cs="Times New Roman"/>
          <w:b/>
          <w:i w:val="0"/>
          <w:sz w:val="24"/>
          <w:szCs w:val="24"/>
        </w:rPr>
        <w:t>3.2.4 Analisis Kalibrasi</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r>
        <w:br/>
      </w:r>
      <w:r>
        <w:drawing>
          <wp:inline>
            <wp:extent cx="5040000" cy="5040000"/>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5040000"/>
                    </a:xfrm>
                    <a:prstGeom prst="rect"/>
                  </pic:spPr>
                </pic:pic>
              </a:graphicData>
            </a:graphic>
          </wp:inline>
        </w:drawing>
      </w:r>
      <w:r>
        <w:br/>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r>
        <w:br/>
      </w:r>
      <w:r>
        <w:drawing>
          <wp:inline>
            <wp:extent cx="5040000" cy="5040000"/>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5040000"/>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4759"/>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040000" cy="339475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r>
        <w:br/>
      </w:r>
      <w:r>
        <w:drawing>
          <wp:inline>
            <wp:extent cx="5040000" cy="206894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068941"/>
                    </a:xfrm>
                    <a:prstGeom prst="rect"/>
                  </pic:spPr>
                </pic:pic>
              </a:graphicData>
            </a:graphic>
          </wp:inline>
        </w:drawing>
      </w:r>
      <w:r>
        <w:br/>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