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 xml:space="preserve">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0,747)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0,769, yang berada di antara performa untuk mortalitas (0,819) dan SKG (0,747). Analisis luaran komposit bersifat eksploratif karena menggabungkan komponen dengan karakteristik prediktif dan implikasi klinis yang berbeda.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br w:type="page"/>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2.1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