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 xml:space="preserve">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b/>
        </w:rPr>
        <w:t xml:space="preserve">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 xml:space="preserve">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rPr>
          <w:sz w:val="22"/>
        </w:rPr>
        <w:t>Background: In-hospital mortality in Acute Coronary Syndrome (ACS) patients remains high. Early prediction of mortality risk at Emergency Department (ED) admission is crucial for risk stratification and treatment optimization. Machine learning offers an alternative approach capable of capturing non-linear patterns among predictor variables. Objective: To develop and validate a Random Forest-based prediction model for in-hospital mortality in STEMI and NSTEMI patients presenting to the ED, and compare its performance with XGBoost. Methods: This retrospective cohort study used electronic medical records of adult patients (≥18 years) diagnosed with STEMI or NSTEMI admitted through the ED of Pusat Jantung Terpadu RSUP Dr. Wahidin Sudirohusodo between January 2024 and December 2025. Thirteen selected predictor variables were used to build a Random Forest model with 5-fold cross-validation repeated over 10 random seeds. Model performance was evaluated using AUC-ROC, sensitivity, specificity, AUPRC, Brier score, and decision curve analysis. Results: Of 1,524 patients meeting the inclusion criteria, 115 (7.5%) experienced in-hospital mortality. The Random Forest model with 13 predictor variables achieved an AUC of 0.818 ± 0.003 (good discrimination). At a safety-oriented threshold of 0.069, the model achieved 98.3% sensitivity and 19.7% specificity, with an NPV of 99.3%. The three dominant predictors were ureum, eGFR, and age. The Random Forest model outperformed XGBoost (AUC 0.789). Conclusion: The Random Forest model using 13 routinely available clinical parameters demonstrates good discriminative performance for predicting in-hospital mortality in STEMI and NSTEMI patients, and has potential as a risk stratification tool in the ED.</w:t>
      </w:r>
    </w:p>
    <w:p>
      <w:pPr>
        <w:spacing w:after="60" w:line="360" w:lineRule="auto"/>
        <w:ind w:firstLine="709"/>
        <w:jc w:val="both"/>
      </w:pPr>
      <w:r>
        <w:rPr>
          <w:rFonts w:ascii="Times New Roman" w:hAnsi="Times New Roman" w:cs="Times New Roman"/>
          <w:sz w:val="24"/>
          <w:szCs w:val="24"/>
          <w:b/>
        </w:rPr>
        <w:t xml:space="preserve">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rPr>
          <w:rFonts w:ascii="Times New Roman" w:hAnsi="Times New Roman" w:cs="Times New Roman"/>
          <w:sz w:val="24"/>
          <w:szCs w:val="24"/>
        </w:rPr>
        <w:t>SKG adalah sindrom klinis yang ditandai oleh ketidakmampuan jantung memompa darah secara adekuat, sehingga terjadi hipoperfusi jaringan sistemik (Baran et al., 2019). Berbeda dengan syok hipovolemik atau distributif, pada SKG volume intravaskular pasien sebenarnya adekuat;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rPr>
          <w:rFonts w:ascii="Times New Roman" w:hAnsi="Times New Roman" w:cs="Times New Roman"/>
          <w:sz w:val="24"/>
          <w:szCs w:val="24"/>
        </w:rPr>
        <w:t>Aktivasi sistem saraf simpatis dan aksis neurohormonal pada awalnya bersifat kompensatorik, namun pada kondisi yang berkepanjangan menjadi maladaptif.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 xml:space="preserve">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Pemilihan Random Forest dalam penelitian ini didasarkan pada beberapa pertimbangan. Pertama, kemampuannya menangkap interaksi non-linear kompleks antar variabel tanpa memerlukan asumsi distribusi tertentu. Kedua, Random Forest memberikan informasi feature importance (Gini importance) yang intuitif untuk interpretasi klinis. Ketiga, algoritma ini relatif robust terhadap overfitting dan data hilang. Sebagai perbandingan, algoritma XGBoost juga digunakan untuk mengevaluasi apakah performanya dapat melampaui Random Forest pada dataset yang sama.cara internal melalui algoritma sparsity-aware, yang mengurangi kebutuhan imputasi dan potensi bias. Ketiga, regularisasi L1 dan L2 terintegrasi untuk mencegah overfitting dan meningkatkan generalisabilitas. Keempat, penyediaan metrik feature importance yang memungkinkan interpretasi model serta identifikasi variabel yang paling berkontribusi dalam prediksi (Chen dan Guestrin, 2016).</w:t>
      </w:r>
    </w:p>
    <w:p>
      <w:pPr>
        <w:spacing w:after="60" w:line="360" w:lineRule="auto"/>
        <w:ind w:firstLine="709"/>
        <w:jc w:val="both"/>
      </w:pPr>
      <w:r>
        <w:rPr>
          <w:rFonts w:ascii="Times New Roman" w:hAnsi="Times New Roman" w:cs="Times New Roman"/>
          <w:sz w:val="24"/>
          <w:szCs w:val="24"/>
        </w:rPr>
        <w:t>Pusat Jantung Terpadu RSUP Dr. Wahidin Sudirohusodo sebagai pusat rujukan jantung utama di Indonesia Timur menangani volume kasus SKA yang tinggi dengan spektrum keparahan yang luas. Namun hingga saat ini belum ada model prediksi mortalitas in-hospital yang dikembangkan dan divalidasi secara spesifik untuk populasi di pusat layanan ini. Pengembangan model prediksi yang akurat dan aplikatif di IGD, dengan memanfaatkan data yang tersedia secara rutin, merupakan langkah strategis untuk meningkatkan kualitas tatalaksana dan luaran pasien SKA. Oleh karena itu, penelitian ini bertujuan mengembangkan dan mengevaluasi model prediksi berbasis algoritma XGBoost untuk kejadian syok kardiogenik pada pasien STEMI dan NSTEMI.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memvalidasi model prediksi dini kejadian syok kardiogenik pada pasien dengan diagnosis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rPr>
          <w:rFonts w:ascii="Times New Roman" w:hAnsi="Times New Roman" w:cs="Times New Roman"/>
          <w:sz w:val="24"/>
          <w:szCs w:val="24"/>
        </w:rPr>
        <w:t>3. Pasien yang meninggal di IGD sebelum proses diagnosis SKA dan pengumpulan data prediktor awal dapat diselesaikan secara adekuat.</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t>2.4.3 Proses Seleksi Subjek dan Alur Sampling</w:t>
      </w:r>
      <w:r>
        <w:rPr>
          <w:rFonts w:ascii="Times New Roman" w:hAnsi="Times New Roman"/>
          <w:sz w:val="24"/>
        </w:rPr>
        <w:br/>
        <w:br/>
        <w:t>Proses seleksi subjek penelitian mengikuti alur bertahap sebagai berikut. Pertama, seluruh pasien yang terdaftar dalam Makassar ACS Registry dengan diagnosis SKA (STEMI atau NSTEMI) yang masuk melalui IGD dalam periode penelitian diidentifikasi sebagai populasi awal — disebut sebagai total sampling awal. Kedua, dari populasi tersebut, diterapkan kriteria inklusi: usia ≥18 tahun, diagnosis primer STEMI atau NSTEMI, dan ketersediaan data rekam medis yang mencukupi untuk ekstraksi variabel. Ketiga, dilakukan eksklusi tahap pertama: pasien dengan Killip IV (syok kardiogenik yang sudah manifes saat presentasi awal) dikeluarkan karena model ini bersifat prediktif — memprediksi risiko mortalitas pada pasien yang BELUM mengalami syok, bukan mendiagnosis kondisi yang sudah jelas. Keempat, dilakukan eksklusi tahap kedua: pasien dengan data ekokardiografi awal (LVEF, TAPSE, LVOT VTI) yang tidak tercatat secara lengkap di rekam medis elektronik tidak dapat diikutsertakan. Ketidaklengkapan ini sebagian besar terkait dengan variasi pola dokumentasi klinisi jaga di IGD — di mana tidak seluruh klinisi secara rutin melakukan dan merekam temuan POCUS ekokardiografi pada saat admisi. Kondisi ini mencerminkan realita praktik klinis di setting IGD dengan beban kerja tinggi dan keterbatasan waktu, bukan merupakan kesalahan individu atau kegagalan protokol. Kelima, dilakukan eksklusi tahap ketiga melalui identifikasi flag pat_exclude dalam database: pasien yang memiliki flag ini dikeluarkan karena alasan klinis seperti readmisi non-ACS, rekam medis yang tidak dapat diekstraksi secara memadai di luar variabel ekokardiografi, kematian dini sebelum asesmen awal lengkap, atau pasien yang dipindahkan/dirujuk sebelum luaran akhir dapat dievaluasi. Setelah seluruh tahapan seleksi, diperoleh 1.524 pasien yang memenuhi seluruh kriteria dan memiliki data lengkap untuk analisis. Dari jumlah tersebut, 115 pasien (7,5%) mengalami mortalitas in-hospital. Alur seleksi subjek secara visual disajikan pada Gambar 2.2 (diagram alur penelitian).</w:t>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417"/>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3118"/>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Definisi</w:t>
            </w:r>
          </w:p>
        </w:tc>
        <w:tc>
          <w:tcPr>
            <w:tcW w:type="dxa" w:w="850"/>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Skala</w:t>
            </w:r>
          </w:p>
        </w:tc>
        <w:tc>
          <w:tcPr>
            <w:tcW w:type="dxa" w:w="3969"/>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Syok Kardiogenik (SKG) in-hospital</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Sindrom hipoperfusi jaringan akibat disfungsi pompa jantung primer yang terjadi selama rawatan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SBP &lt;90 mmHg &gt;30 menit atau butuh vasopresor/inotropik UNTUK mempertahankan SBP ≥90 mmHg, DISERTAI ≥1 bukti hipoperfusi (perubahan status mental, akral dingin, oliguri &lt;0,5 mL/kg/jam, laktat &gt;2 mmol/L). Tidak=0 jika tidak memenuhi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rPr>
          <w:rFonts w:ascii="Times New Roman" w:hAnsi="Times New Roman" w:cs="Times New Roman"/>
          <w:sz w:val="24"/>
          <w:szCs w:val="24"/>
        </w:rP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kompensatorik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jc w:val="center"/>
      </w:pPr>
      <w:r>
        <w:rPr>
          <w:rFonts w:ascii="Times New Roman" w:hAnsi="Times New Roman" w:cs="Times New Roman"/>
          <w:sz w:val="24"/>
          <w:szCs w:val="24"/>
        </w:rPr>
        <w:drawing>
          <wp:inline>
            <wp:extent cx="4320000" cy="3055297"/>
            <wp:docPr id="1" name="Picture 1"/>
            <wp:cNvGraphicFramePr>
              <a:graphicFrameLocks noChangeAspect="1"/>
            </wp:cNvGraphicFramePr>
            <a:graphic>
              <a:graphicData uri="http://schemas.openxmlformats.org/drawingml/2006/picture">
                <pic:pic>
                  <pic:nvPicPr>
                    <pic:cNvPr id="0" name="kerangka_p43.png"/>
                    <pic:cNvPicPr/>
                  </pic:nvPicPr>
                  <pic:blipFill>
                    <a:blip r:embed="rId12"/>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terikat (luaran)</w:t>
      </w:r>
      <w:r>
        <w:rPr>
          <w:rFonts w:ascii="Times New Roman" w:hAnsi="Times New Roman" w:cs="Times New Roman"/>
          <w:sz w:val="24"/>
          <w:szCs w:val="24"/>
        </w:rPr>
        <w:t xml:space="preserve"> adalah apakah pasien mengalami syok kardiogenik selama dirawat atau tidak. Syok kardiogenik ditegakkan kalau pasien punya tekanan darah rendah yang butuh obat penguat tekanan darah, plus ada tanda-tanda aliran darah ke organ kurang (misalnya bingung, kencing sedikit, atau kadar laktat tinggi).</w:t>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jc w:val="center"/>
      </w:pPr>
      <w:r>
        <w:rPr>
          <w:rFonts w:ascii="Times New Roman" w:hAnsi="Times New Roman" w:cs="Times New Roman"/>
          <w:sz w:val="24"/>
          <w:szCs w:val="24"/>
        </w:rPr>
        <w:drawing>
          <wp:inline>
            <wp:extent cx="4320000" cy="3055297"/>
            <wp:docPr id="2" name="Picture 2"/>
            <wp:cNvGraphicFramePr>
              <a:graphicFrameLocks noChangeAspect="1"/>
            </wp:cNvGraphicFramePr>
            <a:graphic>
              <a:graphicData uri="http://schemas.openxmlformats.org/drawingml/2006/picture">
                <pic:pic>
                  <pic:nvPicPr>
                    <pic:cNvPr id="0" name="kerangka_p44.png"/>
                    <pic:cNvPicPr/>
                  </pic:nvPicPr>
                  <pic:blipFill>
                    <a:blip r:embed="rId1"/>
                    <a:stretch>
                      <a:fillRect/>
                    </a:stretch>
                  </pic:blipFill>
                  <pic:spPr>
                    <a:xfrm>
                      <a:off x="0" y="0"/>
                      <a:ext cx="4320000" cy="3055297"/>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prediksi utama adalah Random Forest (RF) yang terdiri dari 500 pohon keputusan (n_estimators=500), kedalaman maksimum 6 level (max_depth=6), dan minimal sampel per daun sebanyak 5 sampel (min_samples_leaf=5). Hiperparameter ini dipilih berdasarkan optimasi melalui grid search dengan validasi silang 5-lipat untuk menyeimbangkan bias dan varians. Sebagai model pembanding, dikembangkan pula regresi logistik multivariat di mana variabel dengan nilai p di bawah 0,25 pada analisis bivariat dipertimbangkan sebagai kandidat untuk dimasukkan ke dalam model dengan seleksi variabel akhir menggunakan backward stepwise elimination. Selain itu, model XGBoost juga dikembangkan sebagai pembanding algoritma boosting untuk menunjukkan konsistensi temuan.</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t>Alur penelitian dimulai dari identifikasi dan seleksi subjek dari database Makassar ACS Registry berdasarkan diagnosis SKA dalam periode yang ditentukan. Proses seleksi dilakukan secara bertahap: seluruh pasien SKA diskrining berdasarkan kriteria inklusi, kemudian dilakukan eksklusi bertahap — pertama pasien dengan Killip IV (syok manifes), kedua pasien dengan data ekokardiografi awal yang tidak tercatat lengkap (mencerminkan variasi praktik klinis dokumentasi POCUS di IGD), dan ketiga pasien dengan flag pat_exclude (alasan klinis lain seperti readmisi non-ACS atau data tidak dapat diekstraksi). Subjek yang memenuhi seluruh kriteria dan memiliki data lengkap kemudian menjalani ekstraksi data variabel prediktor dan luaran. Data yang terkumpul menjalani pra-pemrosesan, kemudian model Random Forest dikembangkan dengan optimasi hiperparameter melalui validasi silang 5-lipat. Performa model dievaluasi menggunakan validasi silang multi-seed dengan prediksi out-of-fold, dan interpretasi model dilakukan melalui analisis feature importance (Gini importance) dan analisis ablasi (leave-one-feature-out).</w:t>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pPr>
              <w:jc w:val="center"/>
            </w:pPr>
            <w:r/>
            <w:r>
              <w:rPr>
                <w:b/>
                <w:sz w:val="16"/>
              </w:rPr>
              <w:t>Variable</w:t>
            </w:r>
          </w:p>
        </w:tc>
        <w:tc>
          <w:tcPr>
            <w:tcW w:type="dxa" w:w="2409"/>
          </w:tcPr>
          <w:p>
            <w:pPr>
              <w:jc w:val="center"/>
            </w:pPr>
            <w:r/>
            <w:r>
              <w:rPr>
                <w:b/>
                <w:sz w:val="16"/>
              </w:rPr>
              <w:t>Alive (n=1409)</w:t>
            </w:r>
          </w:p>
        </w:tc>
        <w:tc>
          <w:tcPr>
            <w:tcW w:type="dxa" w:w="2409"/>
          </w:tcPr>
          <w:p>
            <w:pPr>
              <w:jc w:val="center"/>
            </w:pPr>
            <w:r/>
            <w:r>
              <w:rPr>
                <w:b/>
                <w:sz w:val="16"/>
              </w:rPr>
              <w:t>Death (n=115)</w:t>
            </w:r>
          </w:p>
        </w:tc>
        <w:tc>
          <w:tcPr>
            <w:tcW w:type="dxa" w:w="2409"/>
          </w:tcPr>
          <w:p>
            <w:pPr>
              <w:jc w:val="center"/>
            </w:pPr>
            <w:r/>
            <w:r>
              <w:rPr>
                <w:b/>
                <w:sz w:val="16"/>
              </w:rPr>
              <w:t>p</w:t>
            </w:r>
          </w:p>
        </w:tc>
      </w:tr>
      <w:tr>
        <w:tc>
          <w:tcPr>
            <w:tcW w:type="dxa" w:w="2409"/>
          </w:tcPr>
          <w:p>
            <w:pPr>
              <w:jc w:val="left"/>
            </w:pPr>
            <w:r/>
            <w:r>
              <w:rPr>
                <w:sz w:val="16"/>
              </w:rPr>
              <w:t>Age (years)</w:t>
            </w:r>
          </w:p>
        </w:tc>
        <w:tc>
          <w:tcPr>
            <w:tcW w:type="dxa" w:w="2409"/>
          </w:tcPr>
          <w:p>
            <w:pPr>
              <w:jc w:val="center"/>
            </w:pPr>
            <w:r/>
            <w:r>
              <w:rPr>
                <w:sz w:val="16"/>
              </w:rPr>
              <w:t>56.9 ± 11.0</w:t>
            </w:r>
          </w:p>
        </w:tc>
        <w:tc>
          <w:tcPr>
            <w:tcW w:type="dxa" w:w="2409"/>
          </w:tcPr>
          <w:p>
            <w:pPr>
              <w:jc w:val="center"/>
            </w:pPr>
            <w:r/>
            <w:r>
              <w:rPr>
                <w:sz w:val="16"/>
              </w:rPr>
              <w:t>64.5 ± 9.2</w:t>
            </w:r>
          </w:p>
        </w:tc>
        <w:tc>
          <w:tcPr>
            <w:tcW w:type="dxa" w:w="2409"/>
          </w:tcPr>
          <w:p>
            <w:pPr>
              <w:jc w:val="center"/>
            </w:pPr>
            <w:r/>
            <w:r>
              <w:rPr>
                <w:sz w:val="16"/>
              </w:rPr>
              <w:t>0.0000</w:t>
            </w:r>
          </w:p>
        </w:tc>
      </w:tr>
      <w:tr>
        <w:tc>
          <w:tcPr>
            <w:tcW w:type="dxa" w:w="2409"/>
          </w:tcPr>
          <w:p>
            <w:pPr>
              <w:jc w:val="left"/>
            </w:pPr>
            <w:r/>
            <w:r>
              <w:rPr>
                <w:sz w:val="16"/>
              </w:rPr>
              <w:t>Male gender — n (%)</w:t>
            </w:r>
          </w:p>
        </w:tc>
        <w:tc>
          <w:tcPr>
            <w:tcW w:type="dxa" w:w="2409"/>
          </w:tcPr>
          <w:p>
            <w:pPr>
              <w:jc w:val="center"/>
            </w:pPr>
            <w:r/>
            <w:r>
              <w:rPr>
                <w:sz w:val="16"/>
              </w:rPr>
              <w:t>0 (0.0)</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SBP (mmHg)</w:t>
            </w:r>
          </w:p>
        </w:tc>
        <w:tc>
          <w:tcPr>
            <w:tcW w:type="dxa" w:w="2409"/>
          </w:tcPr>
          <w:p>
            <w:pPr>
              <w:jc w:val="center"/>
            </w:pPr>
            <w:r/>
            <w:r>
              <w:rPr>
                <w:sz w:val="16"/>
              </w:rPr>
              <w:t>132.1 ± 24.2</w:t>
            </w:r>
          </w:p>
        </w:tc>
        <w:tc>
          <w:tcPr>
            <w:tcW w:type="dxa" w:w="2409"/>
          </w:tcPr>
          <w:p>
            <w:pPr>
              <w:jc w:val="center"/>
            </w:pPr>
            <w:r/>
            <w:r>
              <w:rPr>
                <w:sz w:val="16"/>
              </w:rPr>
              <w:t>127.3 ± 28.6</w:t>
            </w:r>
          </w:p>
        </w:tc>
        <w:tc>
          <w:tcPr>
            <w:tcW w:type="dxa" w:w="2409"/>
          </w:tcPr>
          <w:p>
            <w:pPr>
              <w:jc w:val="center"/>
            </w:pPr>
            <w:r/>
            <w:r>
              <w:rPr>
                <w:sz w:val="16"/>
              </w:rPr>
              <w:t>0.0092</w:t>
            </w:r>
          </w:p>
        </w:tc>
      </w:tr>
      <w:tr>
        <w:tc>
          <w:tcPr>
            <w:tcW w:type="dxa" w:w="2409"/>
          </w:tcPr>
          <w:p>
            <w:pPr>
              <w:jc w:val="left"/>
            </w:pPr>
            <w:r/>
            <w:r>
              <w:rPr>
                <w:sz w:val="16"/>
              </w:rPr>
              <w:t>DBP (mmHg)</w:t>
            </w:r>
          </w:p>
        </w:tc>
        <w:tc>
          <w:tcPr>
            <w:tcW w:type="dxa" w:w="2409"/>
          </w:tcPr>
          <w:p>
            <w:pPr>
              <w:jc w:val="center"/>
            </w:pPr>
            <w:r/>
            <w:r>
              <w:rPr>
                <w:sz w:val="16"/>
              </w:rPr>
              <w:t>83.0 ± 16.0</w:t>
            </w:r>
          </w:p>
        </w:tc>
        <w:tc>
          <w:tcPr>
            <w:tcW w:type="dxa" w:w="2409"/>
          </w:tcPr>
          <w:p>
            <w:pPr>
              <w:jc w:val="center"/>
            </w:pPr>
            <w:r/>
            <w:r>
              <w:rPr>
                <w:sz w:val="16"/>
              </w:rPr>
              <w:t>80.1 ± 16.8</w:t>
            </w:r>
          </w:p>
        </w:tc>
        <w:tc>
          <w:tcPr>
            <w:tcW w:type="dxa" w:w="2409"/>
          </w:tcPr>
          <w:p>
            <w:pPr>
              <w:jc w:val="center"/>
            </w:pPr>
            <w:r/>
            <w:r>
              <w:rPr>
                <w:sz w:val="16"/>
              </w:rPr>
              <w:t>0.0225</w:t>
            </w:r>
          </w:p>
        </w:tc>
      </w:tr>
      <w:tr>
        <w:tc>
          <w:tcPr>
            <w:tcW w:type="dxa" w:w="2409"/>
          </w:tcPr>
          <w:p>
            <w:pPr>
              <w:jc w:val="left"/>
            </w:pPr>
            <w:r/>
            <w:r>
              <w:rPr>
                <w:sz w:val="16"/>
              </w:rPr>
              <w:t>MAP (mmHg)</w:t>
            </w:r>
          </w:p>
        </w:tc>
        <w:tc>
          <w:tcPr>
            <w:tcW w:type="dxa" w:w="2409"/>
          </w:tcPr>
          <w:p>
            <w:pPr>
              <w:jc w:val="center"/>
            </w:pPr>
            <w:r/>
            <w:r>
              <w:rPr>
                <w:sz w:val="16"/>
              </w:rPr>
              <w:t>99.3 ± 17.6</w:t>
            </w:r>
          </w:p>
        </w:tc>
        <w:tc>
          <w:tcPr>
            <w:tcW w:type="dxa" w:w="2409"/>
          </w:tcPr>
          <w:p>
            <w:pPr>
              <w:jc w:val="center"/>
            </w:pPr>
            <w:r/>
            <w:r>
              <w:rPr>
                <w:sz w:val="16"/>
              </w:rPr>
              <w:t>95.9 ± 19.4</w:t>
            </w:r>
          </w:p>
        </w:tc>
        <w:tc>
          <w:tcPr>
            <w:tcW w:type="dxa" w:w="2409"/>
          </w:tcPr>
          <w:p>
            <w:pPr>
              <w:jc w:val="center"/>
            </w:pPr>
            <w:r/>
            <w:r>
              <w:rPr>
                <w:sz w:val="16"/>
              </w:rPr>
              <w:t>0.0127</w:t>
            </w:r>
          </w:p>
        </w:tc>
      </w:tr>
      <w:tr>
        <w:tc>
          <w:tcPr>
            <w:tcW w:type="dxa" w:w="2409"/>
          </w:tcPr>
          <w:p>
            <w:pPr>
              <w:jc w:val="left"/>
            </w:pPr>
            <w:r/>
            <w:r>
              <w:rPr>
                <w:sz w:val="16"/>
              </w:rPr>
              <w:t>Heart Rate (bpm)</w:t>
            </w:r>
          </w:p>
        </w:tc>
        <w:tc>
          <w:tcPr>
            <w:tcW w:type="dxa" w:w="2409"/>
          </w:tcPr>
          <w:p>
            <w:pPr>
              <w:jc w:val="center"/>
            </w:pPr>
            <w:r/>
            <w:r>
              <w:rPr>
                <w:sz w:val="16"/>
              </w:rPr>
              <w:t>82.5 ± 19.0</w:t>
            </w:r>
          </w:p>
        </w:tc>
        <w:tc>
          <w:tcPr>
            <w:tcW w:type="dxa" w:w="2409"/>
          </w:tcPr>
          <w:p>
            <w:pPr>
              <w:jc w:val="center"/>
            </w:pPr>
            <w:r/>
            <w:r>
              <w:rPr>
                <w:sz w:val="16"/>
              </w:rPr>
              <w:t>91.0 ± 20.2</w:t>
            </w:r>
          </w:p>
        </w:tc>
        <w:tc>
          <w:tcPr>
            <w:tcW w:type="dxa" w:w="2409"/>
          </w:tcPr>
          <w:p>
            <w:pPr>
              <w:jc w:val="center"/>
            </w:pPr>
            <w:r/>
            <w:r>
              <w:rPr>
                <w:sz w:val="16"/>
              </w:rPr>
              <w:t>0.0000</w:t>
            </w:r>
          </w:p>
        </w:tc>
      </w:tr>
      <w:tr>
        <w:tc>
          <w:tcPr>
            <w:tcW w:type="dxa" w:w="2409"/>
          </w:tcPr>
          <w:p>
            <w:pPr>
              <w:jc w:val="left"/>
            </w:pPr>
            <w:r/>
            <w:r>
              <w:rPr>
                <w:sz w:val="16"/>
              </w:rPr>
              <w:t>Respiratory Rate (x/min)</w:t>
            </w:r>
          </w:p>
        </w:tc>
        <w:tc>
          <w:tcPr>
            <w:tcW w:type="dxa" w:w="2409"/>
          </w:tcPr>
          <w:p>
            <w:pPr>
              <w:jc w:val="center"/>
            </w:pPr>
            <w:r/>
            <w:r>
              <w:rPr>
                <w:sz w:val="16"/>
              </w:rPr>
              <w:t>21.6 ± 3.7</w:t>
            </w:r>
          </w:p>
        </w:tc>
        <w:tc>
          <w:tcPr>
            <w:tcW w:type="dxa" w:w="2409"/>
          </w:tcPr>
          <w:p>
            <w:pPr>
              <w:jc w:val="center"/>
            </w:pPr>
            <w:r/>
            <w:r>
              <w:rPr>
                <w:sz w:val="16"/>
              </w:rPr>
              <w:t>23.7 ± 4.0</w:t>
            </w:r>
          </w:p>
        </w:tc>
        <w:tc>
          <w:tcPr>
            <w:tcW w:type="dxa" w:w="2409"/>
          </w:tcPr>
          <w:p>
            <w:pPr>
              <w:jc w:val="center"/>
            </w:pPr>
            <w:r/>
            <w:r>
              <w:rPr>
                <w:sz w:val="16"/>
              </w:rPr>
              <w:t>0.0000</w:t>
            </w:r>
          </w:p>
        </w:tc>
      </w:tr>
      <w:tr>
        <w:tc>
          <w:tcPr>
            <w:tcW w:type="dxa" w:w="2409"/>
          </w:tcPr>
          <w:p>
            <w:pPr>
              <w:jc w:val="left"/>
            </w:pPr>
            <w:r/>
            <w:r>
              <w:rPr>
                <w:sz w:val="16"/>
              </w:rPr>
              <w:t>SpO2 (%)</w:t>
            </w:r>
          </w:p>
        </w:tc>
        <w:tc>
          <w:tcPr>
            <w:tcW w:type="dxa" w:w="2409"/>
          </w:tcPr>
          <w:p>
            <w:pPr>
              <w:jc w:val="center"/>
            </w:pPr>
            <w:r/>
            <w:r>
              <w:rPr>
                <w:sz w:val="16"/>
              </w:rPr>
              <w:t>97.2 ± 2.9</w:t>
            </w:r>
          </w:p>
        </w:tc>
        <w:tc>
          <w:tcPr>
            <w:tcW w:type="dxa" w:w="2409"/>
          </w:tcPr>
          <w:p>
            <w:pPr>
              <w:jc w:val="center"/>
            </w:pPr>
            <w:r/>
            <w:r>
              <w:rPr>
                <w:sz w:val="16"/>
              </w:rPr>
              <w:t>96.0 ± 4.8</w:t>
            </w:r>
          </w:p>
        </w:tc>
        <w:tc>
          <w:tcPr>
            <w:tcW w:type="dxa" w:w="2409"/>
          </w:tcPr>
          <w:p>
            <w:pPr>
              <w:jc w:val="center"/>
            </w:pPr>
            <w:r/>
            <w:r>
              <w:rPr>
                <w:sz w:val="16"/>
              </w:rPr>
              <w:t>0.0035</w:t>
            </w:r>
          </w:p>
        </w:tc>
      </w:tr>
      <w:tr>
        <w:tc>
          <w:tcPr>
            <w:tcW w:type="dxa" w:w="2409"/>
          </w:tcPr>
          <w:p>
            <w:pPr>
              <w:jc w:val="left"/>
            </w:pPr>
            <w:r/>
            <w:r>
              <w:rPr>
                <w:sz w:val="16"/>
              </w:rPr>
              <w:t>Temperature (°C)</w:t>
            </w:r>
          </w:p>
        </w:tc>
        <w:tc>
          <w:tcPr>
            <w:tcW w:type="dxa" w:w="2409"/>
          </w:tcPr>
          <w:p>
            <w:pPr>
              <w:jc w:val="center"/>
            </w:pPr>
            <w:r/>
            <w:r>
              <w:rPr>
                <w:sz w:val="16"/>
              </w:rPr>
              <w:t>36.5 ± 0.6</w:t>
            </w:r>
          </w:p>
        </w:tc>
        <w:tc>
          <w:tcPr>
            <w:tcW w:type="dxa" w:w="2409"/>
          </w:tcPr>
          <w:p>
            <w:pPr>
              <w:jc w:val="center"/>
            </w:pPr>
            <w:r/>
            <w:r>
              <w:rPr>
                <w:sz w:val="16"/>
              </w:rPr>
              <w:t>36.6 ± 0.3</w:t>
            </w:r>
          </w:p>
        </w:tc>
        <w:tc>
          <w:tcPr>
            <w:tcW w:type="dxa" w:w="2409"/>
          </w:tcPr>
          <w:p>
            <w:pPr>
              <w:jc w:val="center"/>
            </w:pPr>
            <w:r/>
            <w:r>
              <w:rPr>
                <w:sz w:val="16"/>
              </w:rPr>
              <w:t>0.8181</w:t>
            </w:r>
          </w:p>
        </w:tc>
      </w:tr>
      <w:tr>
        <w:tc>
          <w:tcPr>
            <w:tcW w:type="dxa" w:w="2409"/>
          </w:tcPr>
          <w:p>
            <w:pPr>
              <w:jc w:val="left"/>
            </w:pPr>
            <w:r/>
            <w:r>
              <w:rPr>
                <w:sz w:val="16"/>
              </w:rPr>
              <w:t xml:space="preserve">  Killip I</w:t>
            </w:r>
          </w:p>
        </w:tc>
        <w:tc>
          <w:tcPr>
            <w:tcW w:type="dxa" w:w="2409"/>
          </w:tcPr>
          <w:p>
            <w:pPr>
              <w:jc w:val="center"/>
            </w:pPr>
            <w:r/>
            <w:r>
              <w:rPr>
                <w:sz w:val="16"/>
              </w:rPr>
              <w:t>927 (65.8)</w:t>
            </w:r>
          </w:p>
        </w:tc>
        <w:tc>
          <w:tcPr>
            <w:tcW w:type="dxa" w:w="2409"/>
          </w:tcPr>
          <w:p>
            <w:pPr>
              <w:jc w:val="center"/>
            </w:pPr>
            <w:r/>
            <w:r>
              <w:rPr>
                <w:sz w:val="16"/>
              </w:rPr>
              <w:t>41 (35.7)</w:t>
            </w:r>
          </w:p>
        </w:tc>
        <w:tc>
          <w:tcPr>
            <w:tcW w:type="dxa" w:w="2409"/>
          </w:tcPr>
          <w:p>
            <w:pPr>
              <w:jc w:val="center"/>
            </w:pPr>
            <w:r/>
            <w:r>
              <w:rPr>
                <w:sz w:val="16"/>
              </w:rPr>
            </w:r>
          </w:p>
        </w:tc>
      </w:tr>
      <w:tr>
        <w:tc>
          <w:tcPr>
            <w:tcW w:type="dxa" w:w="2409"/>
          </w:tcPr>
          <w:p>
            <w:pPr>
              <w:jc w:val="left"/>
            </w:pPr>
            <w:r/>
            <w:r>
              <w:rPr>
                <w:sz w:val="16"/>
              </w:rPr>
              <w:t xml:space="preserve">  Killip II</w:t>
            </w:r>
          </w:p>
        </w:tc>
        <w:tc>
          <w:tcPr>
            <w:tcW w:type="dxa" w:w="2409"/>
          </w:tcPr>
          <w:p>
            <w:pPr>
              <w:jc w:val="center"/>
            </w:pPr>
            <w:r/>
            <w:r>
              <w:rPr>
                <w:sz w:val="16"/>
              </w:rPr>
              <w:t>374 (26.5)</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 xml:space="preserve">  Killip III</w:t>
            </w:r>
          </w:p>
        </w:tc>
        <w:tc>
          <w:tcPr>
            <w:tcW w:type="dxa" w:w="2409"/>
          </w:tcPr>
          <w:p>
            <w:pPr>
              <w:jc w:val="center"/>
            </w:pPr>
            <w:r/>
            <w:r>
              <w:rPr>
                <w:sz w:val="16"/>
              </w:rPr>
              <w:t>108 (7.7)</w:t>
            </w:r>
          </w:p>
        </w:tc>
        <w:tc>
          <w:tcPr>
            <w:tcW w:type="dxa" w:w="2409"/>
          </w:tcPr>
          <w:p>
            <w:pPr>
              <w:jc w:val="center"/>
            </w:pPr>
            <w:r/>
            <w:r>
              <w:rPr>
                <w:sz w:val="16"/>
              </w:rPr>
              <w:t>37 (32.2)</w:t>
            </w:r>
          </w:p>
        </w:tc>
        <w:tc>
          <w:tcPr>
            <w:tcW w:type="dxa" w:w="2409"/>
          </w:tcPr>
          <w:p>
            <w:pPr>
              <w:jc w:val="center"/>
            </w:pPr>
            <w:r/>
            <w:r>
              <w:rPr>
                <w:sz w:val="16"/>
              </w:rPr>
            </w:r>
          </w:p>
        </w:tc>
      </w:tr>
      <w:tr>
        <w:tc>
          <w:tcPr>
            <w:tcW w:type="dxa" w:w="2409"/>
          </w:tcPr>
          <w:p>
            <w:pPr>
              <w:jc w:val="left"/>
            </w:pPr>
            <w:r/>
            <w:r>
              <w:rPr>
                <w:sz w:val="16"/>
              </w:rPr>
              <w:t>Diabetes mellitus — n (%)</w:t>
            </w:r>
          </w:p>
        </w:tc>
        <w:tc>
          <w:tcPr>
            <w:tcW w:type="dxa" w:w="2409"/>
          </w:tcPr>
          <w:p>
            <w:pPr>
              <w:jc w:val="center"/>
            </w:pPr>
            <w:r/>
            <w:r>
              <w:rPr>
                <w:sz w:val="16"/>
              </w:rPr>
              <w:t>436 (30.9)</w:t>
            </w:r>
          </w:p>
        </w:tc>
        <w:tc>
          <w:tcPr>
            <w:tcW w:type="dxa" w:w="2409"/>
          </w:tcPr>
          <w:p>
            <w:pPr>
              <w:jc w:val="center"/>
            </w:pPr>
            <w:r/>
            <w:r>
              <w:rPr>
                <w:sz w:val="16"/>
              </w:rPr>
              <w:t>48 (41.7)</w:t>
            </w:r>
          </w:p>
        </w:tc>
        <w:tc>
          <w:tcPr>
            <w:tcW w:type="dxa" w:w="2409"/>
          </w:tcPr>
          <w:p>
            <w:pPr>
              <w:jc w:val="center"/>
            </w:pPr>
            <w:r/>
            <w:r>
              <w:rPr>
                <w:sz w:val="16"/>
              </w:rPr>
              <w:t>0.0222</w:t>
            </w:r>
          </w:p>
        </w:tc>
      </w:tr>
      <w:tr>
        <w:tc>
          <w:tcPr>
            <w:tcW w:type="dxa" w:w="2409"/>
          </w:tcPr>
          <w:p>
            <w:pPr>
              <w:jc w:val="left"/>
            </w:pPr>
            <w:r/>
            <w:r>
              <w:rPr>
                <w:sz w:val="16"/>
              </w:rPr>
              <w:t>Hypertension — n (%)</w:t>
            </w:r>
          </w:p>
        </w:tc>
        <w:tc>
          <w:tcPr>
            <w:tcW w:type="dxa" w:w="2409"/>
          </w:tcPr>
          <w:p>
            <w:pPr>
              <w:jc w:val="center"/>
            </w:pPr>
            <w:r/>
            <w:r>
              <w:rPr>
                <w:sz w:val="16"/>
              </w:rPr>
              <w:t>800 (56.8)</w:t>
            </w:r>
          </w:p>
        </w:tc>
        <w:tc>
          <w:tcPr>
            <w:tcW w:type="dxa" w:w="2409"/>
          </w:tcPr>
          <w:p>
            <w:pPr>
              <w:jc w:val="center"/>
            </w:pPr>
            <w:r/>
            <w:r>
              <w:rPr>
                <w:sz w:val="16"/>
              </w:rPr>
              <w:t>73 (63.5)</w:t>
            </w:r>
          </w:p>
        </w:tc>
        <w:tc>
          <w:tcPr>
            <w:tcW w:type="dxa" w:w="2409"/>
          </w:tcPr>
          <w:p>
            <w:pPr>
              <w:jc w:val="center"/>
            </w:pPr>
            <w:r/>
            <w:r>
              <w:rPr>
                <w:sz w:val="16"/>
              </w:rPr>
              <w:t>0.1941</w:t>
            </w:r>
          </w:p>
        </w:tc>
      </w:tr>
      <w:tr>
        <w:tc>
          <w:tcPr>
            <w:tcW w:type="dxa" w:w="2409"/>
          </w:tcPr>
          <w:p>
            <w:pPr>
              <w:jc w:val="left"/>
            </w:pPr>
            <w:r/>
            <w:r>
              <w:rPr>
                <w:sz w:val="16"/>
              </w:rPr>
              <w:t>Dyslipidemia — n (%)</w:t>
            </w:r>
          </w:p>
        </w:tc>
        <w:tc>
          <w:tcPr>
            <w:tcW w:type="dxa" w:w="2409"/>
          </w:tcPr>
          <w:p>
            <w:pPr>
              <w:jc w:val="center"/>
            </w:pPr>
            <w:r/>
            <w:r>
              <w:rPr>
                <w:sz w:val="16"/>
              </w:rPr>
              <w:t>481 (34.1)</w:t>
            </w:r>
          </w:p>
        </w:tc>
        <w:tc>
          <w:tcPr>
            <w:tcW w:type="dxa" w:w="2409"/>
          </w:tcPr>
          <w:p>
            <w:pPr>
              <w:jc w:val="center"/>
            </w:pPr>
            <w:r/>
            <w:r>
              <w:rPr>
                <w:sz w:val="16"/>
              </w:rPr>
              <w:t>19 (16.5)</w:t>
            </w:r>
          </w:p>
        </w:tc>
        <w:tc>
          <w:tcPr>
            <w:tcW w:type="dxa" w:w="2409"/>
          </w:tcPr>
          <w:p>
            <w:pPr>
              <w:jc w:val="center"/>
            </w:pPr>
            <w:r/>
            <w:r>
              <w:rPr>
                <w:sz w:val="16"/>
              </w:rPr>
              <w:t>0.0002</w:t>
            </w:r>
          </w:p>
        </w:tc>
      </w:tr>
      <w:tr>
        <w:tc>
          <w:tcPr>
            <w:tcW w:type="dxa" w:w="2409"/>
          </w:tcPr>
          <w:p>
            <w:pPr>
              <w:jc w:val="left"/>
            </w:pPr>
            <w:r/>
            <w:r>
              <w:rPr>
                <w:sz w:val="16"/>
              </w:rPr>
              <w:t>CKD — n (%)</w:t>
            </w:r>
          </w:p>
        </w:tc>
        <w:tc>
          <w:tcPr>
            <w:tcW w:type="dxa" w:w="2409"/>
          </w:tcPr>
          <w:p>
            <w:pPr>
              <w:jc w:val="center"/>
            </w:pPr>
            <w:r/>
            <w:r>
              <w:rPr>
                <w:sz w:val="16"/>
              </w:rPr>
              <w:t>105 (7.5)</w:t>
            </w:r>
          </w:p>
        </w:tc>
        <w:tc>
          <w:tcPr>
            <w:tcW w:type="dxa" w:w="2409"/>
          </w:tcPr>
          <w:p>
            <w:pPr>
              <w:jc w:val="center"/>
            </w:pPr>
            <w:r/>
            <w:r>
              <w:rPr>
                <w:sz w:val="16"/>
              </w:rPr>
              <w:t>37 (32.2)</w:t>
            </w:r>
          </w:p>
        </w:tc>
        <w:tc>
          <w:tcPr>
            <w:tcW w:type="dxa" w:w="2409"/>
          </w:tcPr>
          <w:p>
            <w:pPr>
              <w:jc w:val="center"/>
            </w:pPr>
            <w:r/>
            <w:r>
              <w:rPr>
                <w:sz w:val="16"/>
              </w:rPr>
              <w:t>0.0000</w:t>
            </w:r>
          </w:p>
        </w:tc>
      </w:tr>
      <w:tr>
        <w:tc>
          <w:tcPr>
            <w:tcW w:type="dxa" w:w="2409"/>
          </w:tcPr>
          <w:p>
            <w:pPr>
              <w:jc w:val="left"/>
            </w:pPr>
            <w:r/>
            <w:r>
              <w:rPr>
                <w:sz w:val="16"/>
              </w:rPr>
              <w:t>Prior MI — n (%)</w:t>
            </w:r>
          </w:p>
        </w:tc>
        <w:tc>
          <w:tcPr>
            <w:tcW w:type="dxa" w:w="2409"/>
          </w:tcPr>
          <w:p>
            <w:pPr>
              <w:jc w:val="center"/>
            </w:pPr>
            <w:r/>
            <w:r>
              <w:rPr>
                <w:sz w:val="16"/>
              </w:rPr>
              <w:t>120 (8.5)</w:t>
            </w:r>
          </w:p>
        </w:tc>
        <w:tc>
          <w:tcPr>
            <w:tcW w:type="dxa" w:w="2409"/>
          </w:tcPr>
          <w:p>
            <w:pPr>
              <w:jc w:val="center"/>
            </w:pPr>
            <w:r/>
            <w:r>
              <w:rPr>
                <w:sz w:val="16"/>
              </w:rPr>
              <w:t>16 (13.9)</w:t>
            </w:r>
          </w:p>
        </w:tc>
        <w:tc>
          <w:tcPr>
            <w:tcW w:type="dxa" w:w="2409"/>
          </w:tcPr>
          <w:p>
            <w:pPr>
              <w:jc w:val="center"/>
            </w:pPr>
            <w:r/>
            <w:r>
              <w:rPr>
                <w:sz w:val="16"/>
              </w:rPr>
              <w:t>0.0748</w:t>
            </w:r>
          </w:p>
        </w:tc>
      </w:tr>
      <w:tr>
        <w:tc>
          <w:tcPr>
            <w:tcW w:type="dxa" w:w="2409"/>
          </w:tcPr>
          <w:p>
            <w:pPr>
              <w:jc w:val="left"/>
            </w:pPr>
            <w:r/>
            <w:r>
              <w:rPr>
                <w:sz w:val="16"/>
              </w:rPr>
              <w:t>Prior PCI — n (%)</w:t>
            </w:r>
          </w:p>
        </w:tc>
        <w:tc>
          <w:tcPr>
            <w:tcW w:type="dxa" w:w="2409"/>
          </w:tcPr>
          <w:p>
            <w:pPr>
              <w:jc w:val="center"/>
            </w:pPr>
            <w:r/>
            <w:r>
              <w:rPr>
                <w:sz w:val="16"/>
              </w:rPr>
              <w:t>69 (4.9)</w:t>
            </w:r>
          </w:p>
        </w:tc>
        <w:tc>
          <w:tcPr>
            <w:tcW w:type="dxa" w:w="2409"/>
          </w:tcPr>
          <w:p>
            <w:pPr>
              <w:jc w:val="center"/>
            </w:pPr>
            <w:r/>
            <w:r>
              <w:rPr>
                <w:sz w:val="16"/>
              </w:rPr>
              <w:t>7 (6.1)</w:t>
            </w:r>
          </w:p>
        </w:tc>
        <w:tc>
          <w:tcPr>
            <w:tcW w:type="dxa" w:w="2409"/>
          </w:tcPr>
          <w:p>
            <w:pPr>
              <w:jc w:val="center"/>
            </w:pPr>
            <w:r/>
            <w:r>
              <w:rPr>
                <w:sz w:val="16"/>
              </w:rPr>
              <w:t>0.7332</w:t>
            </w:r>
          </w:p>
        </w:tc>
      </w:tr>
      <w:tr>
        <w:tc>
          <w:tcPr>
            <w:tcW w:type="dxa" w:w="2409"/>
          </w:tcPr>
          <w:p>
            <w:pPr>
              <w:jc w:val="left"/>
            </w:pPr>
            <w:r/>
            <w:r>
              <w:rPr>
                <w:sz w:val="16"/>
              </w:rPr>
              <w:t>Prior CABG — n (%)</w:t>
            </w:r>
          </w:p>
        </w:tc>
        <w:tc>
          <w:tcPr>
            <w:tcW w:type="dxa" w:w="2409"/>
          </w:tcPr>
          <w:p>
            <w:pPr>
              <w:jc w:val="center"/>
            </w:pPr>
            <w:r/>
            <w:r>
              <w:rPr>
                <w:sz w:val="16"/>
              </w:rPr>
              <w:t>6 (0.4)</w:t>
            </w:r>
          </w:p>
        </w:tc>
        <w:tc>
          <w:tcPr>
            <w:tcW w:type="dxa" w:w="2409"/>
          </w:tcPr>
          <w:p>
            <w:pPr>
              <w:jc w:val="center"/>
            </w:pPr>
            <w:r/>
            <w:r>
              <w:rPr>
                <w:sz w:val="16"/>
              </w:rPr>
              <w:t>0 (0.0)</w:t>
            </w:r>
          </w:p>
        </w:tc>
        <w:tc>
          <w:tcPr>
            <w:tcW w:type="dxa" w:w="2409"/>
          </w:tcPr>
          <w:p>
            <w:pPr>
              <w:jc w:val="center"/>
            </w:pPr>
            <w:r/>
            <w:r>
              <w:rPr>
                <w:sz w:val="16"/>
              </w:rPr>
              <w:t>1.0000</w:t>
            </w:r>
          </w:p>
        </w:tc>
      </w:tr>
      <w:tr>
        <w:tc>
          <w:tcPr>
            <w:tcW w:type="dxa" w:w="2409"/>
          </w:tcPr>
          <w:p>
            <w:pPr>
              <w:jc w:val="left"/>
            </w:pPr>
            <w:r/>
            <w:r>
              <w:rPr>
                <w:sz w:val="16"/>
              </w:rPr>
              <w:t>Smoker — n (%)</w:t>
            </w:r>
          </w:p>
        </w:tc>
        <w:tc>
          <w:tcPr>
            <w:tcW w:type="dxa" w:w="2409"/>
          </w:tcPr>
          <w:p>
            <w:pPr>
              <w:jc w:val="center"/>
            </w:pPr>
            <w:r/>
            <w:r>
              <w:rPr>
                <w:sz w:val="16"/>
              </w:rPr>
              <w:t>964 (68.4)</w:t>
            </w:r>
          </w:p>
        </w:tc>
        <w:tc>
          <w:tcPr>
            <w:tcW w:type="dxa" w:w="2409"/>
          </w:tcPr>
          <w:p>
            <w:pPr>
              <w:jc w:val="center"/>
            </w:pPr>
            <w:r/>
            <w:r>
              <w:rPr>
                <w:sz w:val="16"/>
              </w:rPr>
              <w:t>69 (60.0)</w:t>
            </w:r>
          </w:p>
        </w:tc>
        <w:tc>
          <w:tcPr>
            <w:tcW w:type="dxa" w:w="2409"/>
          </w:tcPr>
          <w:p>
            <w:pPr>
              <w:jc w:val="center"/>
            </w:pPr>
            <w:r/>
            <w:r>
              <w:rPr>
                <w:sz w:val="16"/>
              </w:rPr>
              <w:t>0.0795</w:t>
            </w:r>
          </w:p>
        </w:tc>
      </w:tr>
      <w:tr>
        <w:tc>
          <w:tcPr>
            <w:tcW w:type="dxa" w:w="2409"/>
          </w:tcPr>
          <w:p>
            <w:pPr>
              <w:jc w:val="left"/>
            </w:pPr>
            <w:r/>
            <w:r>
              <w:rPr>
                <w:sz w:val="16"/>
              </w:rPr>
              <w:t>Hemoglobin (g/dL)</w:t>
            </w:r>
          </w:p>
        </w:tc>
        <w:tc>
          <w:tcPr>
            <w:tcW w:type="dxa" w:w="2409"/>
          </w:tcPr>
          <w:p>
            <w:pPr>
              <w:jc w:val="center"/>
            </w:pPr>
            <w:r/>
            <w:r>
              <w:rPr>
                <w:sz w:val="16"/>
              </w:rPr>
              <w:t>13.8 ± 2.0</w:t>
            </w:r>
          </w:p>
        </w:tc>
        <w:tc>
          <w:tcPr>
            <w:tcW w:type="dxa" w:w="2409"/>
          </w:tcPr>
          <w:p>
            <w:pPr>
              <w:jc w:val="center"/>
            </w:pPr>
            <w:r/>
            <w:r>
              <w:rPr>
                <w:sz w:val="16"/>
              </w:rPr>
              <w:t>12.4 ± 2.4</w:t>
            </w:r>
          </w:p>
        </w:tc>
        <w:tc>
          <w:tcPr>
            <w:tcW w:type="dxa" w:w="2409"/>
          </w:tcPr>
          <w:p>
            <w:pPr>
              <w:jc w:val="center"/>
            </w:pPr>
            <w:r/>
            <w:r>
              <w:rPr>
                <w:sz w:val="16"/>
              </w:rPr>
              <w:t>0.0000</w:t>
            </w:r>
          </w:p>
        </w:tc>
      </w:tr>
      <w:tr>
        <w:tc>
          <w:tcPr>
            <w:tcW w:type="dxa" w:w="2409"/>
          </w:tcPr>
          <w:p>
            <w:pPr>
              <w:jc w:val="left"/>
            </w:pPr>
            <w:r/>
            <w:r>
              <w:rPr>
                <w:sz w:val="16"/>
              </w:rPr>
              <w:t>Hematocrit (%)</w:t>
            </w:r>
          </w:p>
        </w:tc>
        <w:tc>
          <w:tcPr>
            <w:tcW w:type="dxa" w:w="2409"/>
          </w:tcPr>
          <w:p>
            <w:pPr>
              <w:jc w:val="center"/>
            </w:pPr>
            <w:r/>
            <w:r>
              <w:rPr>
                <w:sz w:val="16"/>
              </w:rPr>
              <w:t>38.6 ± 13.9</w:t>
            </w:r>
          </w:p>
        </w:tc>
        <w:tc>
          <w:tcPr>
            <w:tcW w:type="dxa" w:w="2409"/>
          </w:tcPr>
          <w:p>
            <w:pPr>
              <w:jc w:val="center"/>
            </w:pPr>
            <w:r/>
            <w:r>
              <w:rPr>
                <w:sz w:val="16"/>
              </w:rPr>
              <w:t>35.4 ± 9.2</w:t>
            </w:r>
          </w:p>
        </w:tc>
        <w:tc>
          <w:tcPr>
            <w:tcW w:type="dxa" w:w="2409"/>
          </w:tcPr>
          <w:p>
            <w:pPr>
              <w:jc w:val="center"/>
            </w:pPr>
            <w:r/>
            <w:r>
              <w:rPr>
                <w:sz w:val="16"/>
              </w:rPr>
              <w:t>0.1000</w:t>
            </w:r>
          </w:p>
        </w:tc>
      </w:tr>
      <w:tr>
        <w:tc>
          <w:tcPr>
            <w:tcW w:type="dxa" w:w="2409"/>
          </w:tcPr>
          <w:p>
            <w:pPr>
              <w:jc w:val="left"/>
            </w:pPr>
            <w:r/>
            <w:r>
              <w:rPr>
                <w:sz w:val="16"/>
              </w:rPr>
              <w:t>Leukocyte (×10³/µL)</w:t>
            </w:r>
          </w:p>
        </w:tc>
        <w:tc>
          <w:tcPr>
            <w:tcW w:type="dxa" w:w="2409"/>
          </w:tcPr>
          <w:p>
            <w:pPr>
              <w:jc w:val="center"/>
            </w:pPr>
            <w:r/>
            <w:r>
              <w:rPr>
                <w:sz w:val="16"/>
              </w:rPr>
              <w:t>12.6 ± 5.0</w:t>
            </w:r>
          </w:p>
        </w:tc>
        <w:tc>
          <w:tcPr>
            <w:tcW w:type="dxa" w:w="2409"/>
          </w:tcPr>
          <w:p>
            <w:pPr>
              <w:jc w:val="center"/>
            </w:pPr>
            <w:r/>
            <w:r>
              <w:rPr>
                <w:sz w:val="16"/>
              </w:rPr>
              <w:t>13.3 ± 5.9</w:t>
            </w:r>
          </w:p>
        </w:tc>
        <w:tc>
          <w:tcPr>
            <w:tcW w:type="dxa" w:w="2409"/>
          </w:tcPr>
          <w:p>
            <w:pPr>
              <w:jc w:val="center"/>
            </w:pPr>
            <w:r/>
            <w:r>
              <w:rPr>
                <w:sz w:val="16"/>
              </w:rPr>
              <w:t>0.2756</w:t>
            </w:r>
          </w:p>
        </w:tc>
      </w:tr>
      <w:tr>
        <w:tc>
          <w:tcPr>
            <w:tcW w:type="dxa" w:w="2409"/>
          </w:tcPr>
          <w:p>
            <w:pPr>
              <w:jc w:val="left"/>
            </w:pPr>
            <w:r/>
            <w:r>
              <w:rPr>
                <w:sz w:val="16"/>
              </w:rPr>
              <w:t>Platelet (×10³/µL)</w:t>
            </w:r>
          </w:p>
        </w:tc>
        <w:tc>
          <w:tcPr>
            <w:tcW w:type="dxa" w:w="2409"/>
          </w:tcPr>
          <w:p>
            <w:pPr>
              <w:jc w:val="center"/>
            </w:pPr>
            <w:r/>
            <w:r>
              <w:rPr>
                <w:sz w:val="16"/>
              </w:rPr>
              <w:t>270.0 ± 78.0</w:t>
            </w:r>
          </w:p>
        </w:tc>
        <w:tc>
          <w:tcPr>
            <w:tcW w:type="dxa" w:w="2409"/>
          </w:tcPr>
          <w:p>
            <w:pPr>
              <w:jc w:val="center"/>
            </w:pPr>
            <w:r/>
            <w:r>
              <w:rPr>
                <w:sz w:val="16"/>
              </w:rPr>
              <w:t>262.3 ± 118.1</w:t>
            </w:r>
          </w:p>
        </w:tc>
        <w:tc>
          <w:tcPr>
            <w:tcW w:type="dxa" w:w="2409"/>
          </w:tcPr>
          <w:p>
            <w:pPr>
              <w:jc w:val="center"/>
            </w:pPr>
            <w:r/>
            <w:r>
              <w:rPr>
                <w:sz w:val="16"/>
              </w:rPr>
              <w:t>0.0242</w:t>
            </w:r>
          </w:p>
        </w:tc>
      </w:tr>
      <w:tr>
        <w:tc>
          <w:tcPr>
            <w:tcW w:type="dxa" w:w="2409"/>
          </w:tcPr>
          <w:p>
            <w:pPr>
              <w:jc w:val="left"/>
            </w:pPr>
            <w:r/>
            <w:r>
              <w:rPr>
                <w:sz w:val="16"/>
              </w:rPr>
              <w:t>Ureum (mg/dL)</w:t>
            </w:r>
          </w:p>
        </w:tc>
        <w:tc>
          <w:tcPr>
            <w:tcW w:type="dxa" w:w="2409"/>
          </w:tcPr>
          <w:p>
            <w:pPr>
              <w:jc w:val="center"/>
            </w:pPr>
            <w:r/>
            <w:r>
              <w:rPr>
                <w:sz w:val="16"/>
              </w:rPr>
              <w:t>38.3 ± 26.3</w:t>
            </w:r>
          </w:p>
        </w:tc>
        <w:tc>
          <w:tcPr>
            <w:tcW w:type="dxa" w:w="2409"/>
          </w:tcPr>
          <w:p>
            <w:pPr>
              <w:jc w:val="center"/>
            </w:pPr>
            <w:r/>
            <w:r>
              <w:rPr>
                <w:sz w:val="16"/>
              </w:rPr>
              <w:t>71.8 ± 53.3</w:t>
            </w:r>
          </w:p>
        </w:tc>
        <w:tc>
          <w:tcPr>
            <w:tcW w:type="dxa" w:w="2409"/>
          </w:tcPr>
          <w:p>
            <w:pPr>
              <w:jc w:val="center"/>
            </w:pPr>
            <w:r/>
            <w:r>
              <w:rPr>
                <w:sz w:val="16"/>
              </w:rPr>
              <w:t>0.0000</w:t>
            </w:r>
          </w:p>
        </w:tc>
      </w:tr>
      <w:tr>
        <w:tc>
          <w:tcPr>
            <w:tcW w:type="dxa" w:w="2409"/>
          </w:tcPr>
          <w:p>
            <w:pPr>
              <w:jc w:val="left"/>
            </w:pPr>
            <w:r/>
            <w:r>
              <w:rPr>
                <w:sz w:val="16"/>
              </w:rPr>
              <w:t>Creatinine (mg/dL)</w:t>
            </w:r>
          </w:p>
        </w:tc>
        <w:tc>
          <w:tcPr>
            <w:tcW w:type="dxa" w:w="2409"/>
          </w:tcPr>
          <w:p>
            <w:pPr>
              <w:jc w:val="center"/>
            </w:pPr>
            <w:r/>
            <w:r>
              <w:rPr>
                <w:sz w:val="16"/>
              </w:rPr>
              <w:t>1.1 ± 0.8</w:t>
            </w:r>
          </w:p>
        </w:tc>
        <w:tc>
          <w:tcPr>
            <w:tcW w:type="dxa" w:w="2409"/>
          </w:tcPr>
          <w:p>
            <w:pPr>
              <w:jc w:val="center"/>
            </w:pPr>
            <w:r/>
            <w:r>
              <w:rPr>
                <w:sz w:val="16"/>
              </w:rPr>
              <w:t>1.8 ± 1.5</w:t>
            </w:r>
          </w:p>
        </w:tc>
        <w:tc>
          <w:tcPr>
            <w:tcW w:type="dxa" w:w="2409"/>
          </w:tcPr>
          <w:p>
            <w:pPr>
              <w:jc w:val="center"/>
            </w:pPr>
            <w:r/>
            <w:r>
              <w:rPr>
                <w:sz w:val="16"/>
              </w:rPr>
              <w:t>0.0000</w:t>
            </w:r>
          </w:p>
        </w:tc>
      </w:tr>
      <w:tr>
        <w:tc>
          <w:tcPr>
            <w:tcW w:type="dxa" w:w="2409"/>
          </w:tcPr>
          <w:p>
            <w:pPr>
              <w:jc w:val="left"/>
            </w:pPr>
            <w:r/>
            <w:r>
              <w:rPr>
                <w:sz w:val="16"/>
              </w:rPr>
              <w:t>eGFR (mL/min/1.73m²)</w:t>
            </w:r>
          </w:p>
        </w:tc>
        <w:tc>
          <w:tcPr>
            <w:tcW w:type="dxa" w:w="2409"/>
          </w:tcPr>
          <w:p>
            <w:pPr>
              <w:jc w:val="center"/>
            </w:pPr>
            <w:r/>
            <w:r>
              <w:rPr>
                <w:sz w:val="16"/>
              </w:rPr>
              <w:t>83.4 ± 26.0</w:t>
            </w:r>
          </w:p>
        </w:tc>
        <w:tc>
          <w:tcPr>
            <w:tcW w:type="dxa" w:w="2409"/>
          </w:tcPr>
          <w:p>
            <w:pPr>
              <w:jc w:val="center"/>
            </w:pPr>
            <w:r/>
            <w:r>
              <w:rPr>
                <w:sz w:val="16"/>
              </w:rPr>
              <w:t>57.8 ± 29.0</w:t>
            </w:r>
          </w:p>
        </w:tc>
        <w:tc>
          <w:tcPr>
            <w:tcW w:type="dxa" w:w="2409"/>
          </w:tcPr>
          <w:p>
            <w:pPr>
              <w:jc w:val="center"/>
            </w:pPr>
            <w:r/>
            <w:r>
              <w:rPr>
                <w:sz w:val="16"/>
              </w:rPr>
              <w:t>0.0000</w:t>
            </w:r>
          </w:p>
        </w:tc>
      </w:tr>
      <w:tr>
        <w:tc>
          <w:tcPr>
            <w:tcW w:type="dxa" w:w="2409"/>
          </w:tcPr>
          <w:p>
            <w:pPr>
              <w:jc w:val="left"/>
            </w:pPr>
            <w:r/>
            <w:r>
              <w:rPr>
                <w:sz w:val="16"/>
              </w:rPr>
              <w:t>Sodium (mEq/L)</w:t>
            </w:r>
          </w:p>
        </w:tc>
        <w:tc>
          <w:tcPr>
            <w:tcW w:type="dxa" w:w="2409"/>
          </w:tcPr>
          <w:p>
            <w:pPr>
              <w:jc w:val="center"/>
            </w:pPr>
            <w:r/>
            <w:r>
              <w:rPr>
                <w:sz w:val="16"/>
              </w:rPr>
              <w:t>136.2 ± 3.6</w:t>
            </w:r>
          </w:p>
        </w:tc>
        <w:tc>
          <w:tcPr>
            <w:tcW w:type="dxa" w:w="2409"/>
          </w:tcPr>
          <w:p>
            <w:pPr>
              <w:jc w:val="center"/>
            </w:pPr>
            <w:r/>
            <w:r>
              <w:rPr>
                <w:sz w:val="16"/>
              </w:rPr>
              <w:t>134.9 ± 4.3</w:t>
            </w:r>
          </w:p>
        </w:tc>
        <w:tc>
          <w:tcPr>
            <w:tcW w:type="dxa" w:w="2409"/>
          </w:tcPr>
          <w:p>
            <w:pPr>
              <w:jc w:val="center"/>
            </w:pPr>
            <w:r/>
            <w:r>
              <w:rPr>
                <w:sz w:val="16"/>
              </w:rPr>
              <w:t>0.0002</w:t>
            </w:r>
          </w:p>
        </w:tc>
      </w:tr>
      <w:tr>
        <w:tc>
          <w:tcPr>
            <w:tcW w:type="dxa" w:w="2409"/>
          </w:tcPr>
          <w:p>
            <w:pPr>
              <w:jc w:val="left"/>
            </w:pPr>
            <w:r/>
            <w:r>
              <w:rPr>
                <w:sz w:val="16"/>
              </w:rPr>
              <w:t>Potassium (mEq/L)</w:t>
            </w:r>
          </w:p>
        </w:tc>
        <w:tc>
          <w:tcPr>
            <w:tcW w:type="dxa" w:w="2409"/>
          </w:tcPr>
          <w:p>
            <w:pPr>
              <w:jc w:val="center"/>
            </w:pPr>
            <w:r/>
            <w:r>
              <w:rPr>
                <w:sz w:val="16"/>
              </w:rPr>
              <w:t>4.1 ± 0.6</w:t>
            </w:r>
          </w:p>
        </w:tc>
        <w:tc>
          <w:tcPr>
            <w:tcW w:type="dxa" w:w="2409"/>
          </w:tcPr>
          <w:p>
            <w:pPr>
              <w:jc w:val="center"/>
            </w:pPr>
            <w:r/>
            <w:r>
              <w:rPr>
                <w:sz w:val="16"/>
              </w:rPr>
              <w:t>4.4 ± 1.0</w:t>
            </w:r>
          </w:p>
        </w:tc>
        <w:tc>
          <w:tcPr>
            <w:tcW w:type="dxa" w:w="2409"/>
          </w:tcPr>
          <w:p>
            <w:pPr>
              <w:jc w:val="center"/>
            </w:pPr>
            <w:r/>
            <w:r>
              <w:rPr>
                <w:sz w:val="16"/>
              </w:rPr>
              <w:t>0.0003</w:t>
            </w:r>
          </w:p>
        </w:tc>
      </w:tr>
      <w:tr>
        <w:tc>
          <w:tcPr>
            <w:tcW w:type="dxa" w:w="2409"/>
          </w:tcPr>
          <w:p>
            <w:pPr>
              <w:jc w:val="left"/>
            </w:pPr>
            <w:r/>
            <w:r>
              <w:rPr>
                <w:sz w:val="16"/>
              </w:rPr>
              <w:t>Blood glucose (mg/dL)</w:t>
            </w:r>
          </w:p>
        </w:tc>
        <w:tc>
          <w:tcPr>
            <w:tcW w:type="dxa" w:w="2409"/>
          </w:tcPr>
          <w:p>
            <w:pPr>
              <w:jc w:val="center"/>
            </w:pPr>
            <w:r/>
            <w:r>
              <w:rPr>
                <w:sz w:val="16"/>
              </w:rPr>
              <w:t>179.9 ± 90.3</w:t>
            </w:r>
          </w:p>
        </w:tc>
        <w:tc>
          <w:tcPr>
            <w:tcW w:type="dxa" w:w="2409"/>
          </w:tcPr>
          <w:p>
            <w:pPr>
              <w:jc w:val="center"/>
            </w:pPr>
            <w:r/>
            <w:r>
              <w:rPr>
                <w:sz w:val="16"/>
              </w:rPr>
              <w:t>198.8 ± 116.9</w:t>
            </w:r>
          </w:p>
        </w:tc>
        <w:tc>
          <w:tcPr>
            <w:tcW w:type="dxa" w:w="2409"/>
          </w:tcPr>
          <w:p>
            <w:pPr>
              <w:jc w:val="center"/>
            </w:pPr>
            <w:r/>
            <w:r>
              <w:rPr>
                <w:sz w:val="16"/>
              </w:rPr>
              <w:t>0.1500</w:t>
            </w:r>
          </w:p>
        </w:tc>
      </w:tr>
      <w:tr>
        <w:tc>
          <w:tcPr>
            <w:tcW w:type="dxa" w:w="2409"/>
          </w:tcPr>
          <w:p>
            <w:pPr>
              <w:jc w:val="left"/>
            </w:pPr>
            <w:r/>
            <w:r>
              <w:rPr>
                <w:sz w:val="16"/>
              </w:rPr>
              <w:t>Troponin I (ng/mL)</w:t>
            </w:r>
          </w:p>
        </w:tc>
        <w:tc>
          <w:tcPr>
            <w:tcW w:type="dxa" w:w="2409"/>
          </w:tcPr>
          <w:p>
            <w:pPr>
              <w:jc w:val="center"/>
            </w:pPr>
            <w:r/>
            <w:r>
              <w:rPr>
                <w:sz w:val="16"/>
              </w:rPr>
              <w:t>16771.2 ± 22440.3</w:t>
            </w:r>
          </w:p>
        </w:tc>
        <w:tc>
          <w:tcPr>
            <w:tcW w:type="dxa" w:w="2409"/>
          </w:tcPr>
          <w:p>
            <w:pPr>
              <w:jc w:val="center"/>
            </w:pPr>
            <w:r/>
            <w:r>
              <w:rPr>
                <w:sz w:val="16"/>
              </w:rPr>
              <w:t>15142.8 ± 21999.8</w:t>
            </w:r>
          </w:p>
        </w:tc>
        <w:tc>
          <w:tcPr>
            <w:tcW w:type="dxa" w:w="2409"/>
          </w:tcPr>
          <w:p>
            <w:pPr>
              <w:jc w:val="center"/>
            </w:pPr>
            <w:r/>
            <w:r>
              <w:rPr>
                <w:sz w:val="16"/>
              </w:rPr>
              <w:t>0.6797</w:t>
            </w:r>
          </w:p>
        </w:tc>
      </w:tr>
      <w:tr>
        <w:tc>
          <w:tcPr>
            <w:tcW w:type="dxa" w:w="2409"/>
          </w:tcPr>
          <w:p>
            <w:pPr>
              <w:jc w:val="left"/>
            </w:pPr>
            <w:r/>
            <w:r>
              <w:rPr>
                <w:sz w:val="16"/>
              </w:rPr>
              <w:t>Neutrophil-lymphocyte ratio</w:t>
            </w:r>
          </w:p>
        </w:tc>
        <w:tc>
          <w:tcPr>
            <w:tcW w:type="dxa" w:w="2409"/>
          </w:tcPr>
          <w:p>
            <w:pPr>
              <w:jc w:val="center"/>
            </w:pPr>
            <w:r/>
            <w:r>
              <w:rPr>
                <w:sz w:val="16"/>
              </w:rPr>
              <w:t>6.7 ± 5.5</w:t>
            </w:r>
          </w:p>
        </w:tc>
        <w:tc>
          <w:tcPr>
            <w:tcW w:type="dxa" w:w="2409"/>
          </w:tcPr>
          <w:p>
            <w:pPr>
              <w:jc w:val="center"/>
            </w:pPr>
            <w:r/>
            <w:r>
              <w:rPr>
                <w:sz w:val="16"/>
              </w:rPr>
              <w:t>9.0 ± 7.8</w:t>
            </w:r>
          </w:p>
        </w:tc>
        <w:tc>
          <w:tcPr>
            <w:tcW w:type="dxa" w:w="2409"/>
          </w:tcPr>
          <w:p>
            <w:pPr>
              <w:jc w:val="center"/>
            </w:pPr>
            <w:r/>
            <w:r>
              <w:rPr>
                <w:sz w:val="16"/>
              </w:rPr>
              <w:t>0.0005</w:t>
            </w:r>
          </w:p>
        </w:tc>
      </w:tr>
      <w:tr>
        <w:tc>
          <w:tcPr>
            <w:tcW w:type="dxa" w:w="2409"/>
          </w:tcPr>
          <w:p>
            <w:pPr>
              <w:jc w:val="left"/>
            </w:pPr>
            <w:r/>
            <w:r>
              <w:rPr>
                <w:sz w:val="16"/>
              </w:rPr>
              <w:t>SII</w:t>
            </w:r>
          </w:p>
        </w:tc>
        <w:tc>
          <w:tcPr>
            <w:tcW w:type="dxa" w:w="2409"/>
          </w:tcPr>
          <w:p>
            <w:pPr>
              <w:jc w:val="center"/>
            </w:pPr>
            <w:r/>
            <w:r>
              <w:rPr>
                <w:sz w:val="16"/>
              </w:rPr>
              <w:t>1803.9 ± 1544.9</w:t>
            </w:r>
          </w:p>
        </w:tc>
        <w:tc>
          <w:tcPr>
            <w:tcW w:type="dxa" w:w="2409"/>
          </w:tcPr>
          <w:p>
            <w:pPr>
              <w:jc w:val="center"/>
            </w:pPr>
            <w:r/>
            <w:r>
              <w:rPr>
                <w:sz w:val="16"/>
              </w:rPr>
              <w:t>2377.6 ± 2406.7</w:t>
            </w:r>
          </w:p>
        </w:tc>
        <w:tc>
          <w:tcPr>
            <w:tcW w:type="dxa" w:w="2409"/>
          </w:tcPr>
          <w:p>
            <w:pPr>
              <w:jc w:val="center"/>
            </w:pPr>
            <w:r/>
            <w:r>
              <w:rPr>
                <w:sz w:val="16"/>
              </w:rPr>
              <w:t>0.0350</w:t>
            </w:r>
          </w:p>
        </w:tc>
      </w:tr>
      <w:tr>
        <w:tc>
          <w:tcPr>
            <w:tcW w:type="dxa" w:w="2409"/>
          </w:tcPr>
          <w:p>
            <w:pPr>
              <w:jc w:val="left"/>
            </w:pPr>
            <w:r/>
            <w:r>
              <w:rPr>
                <w:sz w:val="16"/>
              </w:rPr>
              <w:t>LVEF (%)</w:t>
            </w:r>
          </w:p>
        </w:tc>
        <w:tc>
          <w:tcPr>
            <w:tcW w:type="dxa" w:w="2409"/>
          </w:tcPr>
          <w:p>
            <w:pPr>
              <w:jc w:val="center"/>
            </w:pPr>
            <w:r/>
            <w:r>
              <w:rPr>
                <w:sz w:val="16"/>
              </w:rPr>
              <w:t>42.8 ± 7.7</w:t>
            </w:r>
          </w:p>
        </w:tc>
        <w:tc>
          <w:tcPr>
            <w:tcW w:type="dxa" w:w="2409"/>
          </w:tcPr>
          <w:p>
            <w:pPr>
              <w:jc w:val="center"/>
            </w:pPr>
            <w:r/>
            <w:r>
              <w:rPr>
                <w:sz w:val="16"/>
              </w:rPr>
              <w:t>38.1 ± 8.8</w:t>
            </w:r>
          </w:p>
        </w:tc>
        <w:tc>
          <w:tcPr>
            <w:tcW w:type="dxa" w:w="2409"/>
          </w:tcPr>
          <w:p>
            <w:pPr>
              <w:jc w:val="center"/>
            </w:pPr>
            <w:r/>
            <w:r>
              <w:rPr>
                <w:sz w:val="16"/>
              </w:rPr>
              <w:t>0.0000</w:t>
            </w:r>
          </w:p>
        </w:tc>
      </w:tr>
      <w:tr>
        <w:tc>
          <w:tcPr>
            <w:tcW w:type="dxa" w:w="2409"/>
          </w:tcPr>
          <w:p>
            <w:pPr>
              <w:jc w:val="left"/>
            </w:pPr>
            <w:r/>
            <w:r>
              <w:rPr>
                <w:sz w:val="16"/>
              </w:rPr>
              <w:t>TAPSE (cm)</w:t>
            </w:r>
          </w:p>
        </w:tc>
        <w:tc>
          <w:tcPr>
            <w:tcW w:type="dxa" w:w="2409"/>
          </w:tcPr>
          <w:p>
            <w:pPr>
              <w:jc w:val="center"/>
            </w:pPr>
            <w:r/>
            <w:r>
              <w:rPr>
                <w:sz w:val="16"/>
              </w:rPr>
              <w:t>2.0 ± 0.3</w:t>
            </w:r>
          </w:p>
        </w:tc>
        <w:tc>
          <w:tcPr>
            <w:tcW w:type="dxa" w:w="2409"/>
          </w:tcPr>
          <w:p>
            <w:pPr>
              <w:jc w:val="center"/>
            </w:pPr>
            <w:r/>
            <w:r>
              <w:rPr>
                <w:sz w:val="16"/>
              </w:rPr>
              <w:t>1.9 ± 0.3</w:t>
            </w:r>
          </w:p>
        </w:tc>
        <w:tc>
          <w:tcPr>
            <w:tcW w:type="dxa" w:w="2409"/>
          </w:tcPr>
          <w:p>
            <w:pPr>
              <w:jc w:val="center"/>
            </w:pPr>
            <w:r/>
            <w:r>
              <w:rPr>
                <w:sz w:val="16"/>
              </w:rPr>
              <w:t>0.0002</w:t>
            </w:r>
          </w:p>
        </w:tc>
      </w:tr>
      <w:tr>
        <w:tc>
          <w:tcPr>
            <w:tcW w:type="dxa" w:w="2409"/>
          </w:tcPr>
          <w:p>
            <w:pPr>
              <w:jc w:val="left"/>
            </w:pPr>
            <w:r/>
            <w:r>
              <w:rPr>
                <w:sz w:val="16"/>
              </w:rPr>
              <w:t>LVEDD (mm)</w:t>
            </w:r>
          </w:p>
        </w:tc>
        <w:tc>
          <w:tcPr>
            <w:tcW w:type="dxa" w:w="2409"/>
          </w:tcPr>
          <w:p>
            <w:pPr>
              <w:jc w:val="center"/>
            </w:pPr>
            <w:r/>
            <w:r>
              <w:rPr>
                <w:sz w:val="16"/>
              </w:rPr>
              <w:t>48.8 ± 9.4</w:t>
            </w:r>
          </w:p>
        </w:tc>
        <w:tc>
          <w:tcPr>
            <w:tcW w:type="dxa" w:w="2409"/>
          </w:tcPr>
          <w:p>
            <w:pPr>
              <w:jc w:val="center"/>
            </w:pPr>
            <w:r/>
            <w:r>
              <w:rPr>
                <w:sz w:val="16"/>
              </w:rPr>
              <w:t>52.2 ± 7.8</w:t>
            </w:r>
          </w:p>
        </w:tc>
        <w:tc>
          <w:tcPr>
            <w:tcW w:type="dxa" w:w="2409"/>
          </w:tcPr>
          <w:p>
            <w:pPr>
              <w:jc w:val="center"/>
            </w:pPr>
            <w:r/>
            <w:r>
              <w:rPr>
                <w:sz w:val="16"/>
              </w:rPr>
              <w:t>0.0000</w:t>
            </w:r>
          </w:p>
        </w:tc>
      </w:tr>
      <w:tr>
        <w:tc>
          <w:tcPr>
            <w:tcW w:type="dxa" w:w="2409"/>
          </w:tcPr>
          <w:p>
            <w:pPr>
              <w:jc w:val="left"/>
            </w:pPr>
            <w:r/>
            <w:r>
              <w:rPr>
                <w:sz w:val="16"/>
              </w:rPr>
              <w:t>LVOT VTI (cm)</w:t>
            </w:r>
          </w:p>
        </w:tc>
        <w:tc>
          <w:tcPr>
            <w:tcW w:type="dxa" w:w="2409"/>
          </w:tcPr>
          <w:p>
            <w:pPr>
              <w:jc w:val="center"/>
            </w:pPr>
            <w:r/>
            <w:r>
              <w:rPr>
                <w:sz w:val="16"/>
              </w:rPr>
              <w:t>17.7 ± 4.7</w:t>
            </w:r>
          </w:p>
        </w:tc>
        <w:tc>
          <w:tcPr>
            <w:tcW w:type="dxa" w:w="2409"/>
          </w:tcPr>
          <w:p>
            <w:pPr>
              <w:jc w:val="center"/>
            </w:pPr>
            <w:r/>
            <w:r>
              <w:rPr>
                <w:sz w:val="16"/>
              </w:rPr>
              <w:t>15.5 ± 5.6</w:t>
            </w:r>
          </w:p>
        </w:tc>
        <w:tc>
          <w:tcPr>
            <w:tcW w:type="dxa" w:w="2409"/>
          </w:tcPr>
          <w:p>
            <w:pPr>
              <w:jc w:val="center"/>
            </w:pPr>
            <w:r/>
            <w:r>
              <w:rPr>
                <w:sz w:val="16"/>
              </w:rPr>
              <w:t>0.0000</w:t>
            </w:r>
          </w:p>
        </w:tc>
      </w:tr>
      <w:tr>
        <w:tc>
          <w:tcPr>
            <w:tcW w:type="dxa" w:w="2409"/>
          </w:tcPr>
          <w:p>
            <w:pPr>
              <w:jc w:val="left"/>
            </w:pPr>
            <w:r/>
            <w:r>
              <w:rPr>
                <w:sz w:val="16"/>
              </w:rPr>
              <w:t>Cardiac output (L/min)</w:t>
            </w:r>
          </w:p>
        </w:tc>
        <w:tc>
          <w:tcPr>
            <w:tcW w:type="dxa" w:w="2409"/>
          </w:tcPr>
          <w:p>
            <w:pPr>
              <w:jc w:val="center"/>
            </w:pPr>
            <w:r/>
            <w:r>
              <w:rPr>
                <w:sz w:val="16"/>
              </w:rPr>
              <w:t>4.1 ± 1.2</w:t>
            </w:r>
          </w:p>
        </w:tc>
        <w:tc>
          <w:tcPr>
            <w:tcW w:type="dxa" w:w="2409"/>
          </w:tcPr>
          <w:p>
            <w:pPr>
              <w:jc w:val="center"/>
            </w:pPr>
            <w:r/>
            <w:r>
              <w:rPr>
                <w:sz w:val="16"/>
              </w:rPr>
              <w:t>3.9 ± 1.4</w:t>
            </w:r>
          </w:p>
        </w:tc>
        <w:tc>
          <w:tcPr>
            <w:tcW w:type="dxa" w:w="2409"/>
          </w:tcPr>
          <w:p>
            <w:pPr>
              <w:jc w:val="center"/>
            </w:pPr>
            <w:r/>
            <w:r>
              <w:rPr>
                <w:sz w:val="16"/>
              </w:rPr>
              <w:t>0.0096</w:t>
            </w:r>
          </w:p>
        </w:tc>
      </w:tr>
      <w:tr>
        <w:tc>
          <w:tcPr>
            <w:tcW w:type="dxa" w:w="2409"/>
          </w:tcPr>
          <w:p>
            <w:pPr>
              <w:jc w:val="left"/>
            </w:pPr>
            <w:r/>
            <w:r>
              <w:rPr>
                <w:sz w:val="16"/>
              </w:rPr>
              <w:t>BSA (m²)</w:t>
            </w:r>
          </w:p>
        </w:tc>
        <w:tc>
          <w:tcPr>
            <w:tcW w:type="dxa" w:w="2409"/>
          </w:tcPr>
          <w:p>
            <w:pPr>
              <w:jc w:val="center"/>
            </w:pPr>
            <w:r/>
            <w:r>
              <w:rPr>
                <w:sz w:val="16"/>
              </w:rPr>
              <w:t>1.7 ± 0.2</w:t>
            </w:r>
          </w:p>
        </w:tc>
        <w:tc>
          <w:tcPr>
            <w:tcW w:type="dxa" w:w="2409"/>
          </w:tcPr>
          <w:p>
            <w:pPr>
              <w:jc w:val="center"/>
            </w:pPr>
            <w:r/>
            <w:r>
              <w:rPr>
                <w:sz w:val="16"/>
              </w:rPr>
              <w:t>1.7 ± 0.2</w:t>
            </w:r>
          </w:p>
        </w:tc>
        <w:tc>
          <w:tcPr>
            <w:tcW w:type="dxa" w:w="2409"/>
          </w:tcPr>
          <w:p>
            <w:pPr>
              <w:jc w:val="center"/>
            </w:pPr>
            <w:r/>
            <w:r>
              <w:rPr>
                <w:sz w:val="16"/>
              </w:rPr>
              <w:t>0.0011</w:t>
            </w:r>
          </w:p>
        </w:tc>
      </w:tr>
      <w:tr>
        <w:tc>
          <w:tcPr>
            <w:tcW w:type="dxa" w:w="2409"/>
          </w:tcPr>
          <w:p>
            <w:pPr>
              <w:jc w:val="left"/>
            </w:pPr>
            <w:r/>
            <w:r>
              <w:rPr>
                <w:sz w:val="16"/>
              </w:rPr>
              <w:t>RWMA — n (%)</w:t>
            </w:r>
          </w:p>
        </w:tc>
        <w:tc>
          <w:tcPr>
            <w:tcW w:type="dxa" w:w="2409"/>
          </w:tcPr>
          <w:p>
            <w:pPr>
              <w:jc w:val="center"/>
            </w:pPr>
            <w:r/>
            <w:r>
              <w:rPr>
                <w:sz w:val="16"/>
              </w:rPr>
              <w:t>1319 (93.6)</w:t>
            </w:r>
          </w:p>
        </w:tc>
        <w:tc>
          <w:tcPr>
            <w:tcW w:type="dxa" w:w="2409"/>
          </w:tcPr>
          <w:p>
            <w:pPr>
              <w:jc w:val="center"/>
            </w:pPr>
            <w:r/>
            <w:r>
              <w:rPr>
                <w:sz w:val="16"/>
              </w:rPr>
              <w:t>109 (94.8)</w:t>
            </w:r>
          </w:p>
        </w:tc>
        <w:tc>
          <w:tcPr>
            <w:tcW w:type="dxa" w:w="2409"/>
          </w:tcPr>
          <w:p>
            <w:pPr>
              <w:jc w:val="center"/>
            </w:pPr>
            <w:r/>
            <w:r>
              <w:rPr>
                <w:sz w:val="16"/>
              </w:rPr>
              <w:t>0.7664</w:t>
            </w:r>
          </w:p>
        </w:tc>
      </w:tr>
      <w:tr>
        <w:tc>
          <w:tcPr>
            <w:tcW w:type="dxa" w:w="2409"/>
          </w:tcPr>
          <w:p>
            <w:pPr>
              <w:jc w:val="left"/>
            </w:pPr>
            <w:r/>
            <w:r>
              <w:rPr>
                <w:sz w:val="16"/>
              </w:rPr>
              <w:t>LA dilation — n (%)</w:t>
            </w:r>
          </w:p>
        </w:tc>
        <w:tc>
          <w:tcPr>
            <w:tcW w:type="dxa" w:w="2409"/>
          </w:tcPr>
          <w:p>
            <w:pPr>
              <w:jc w:val="center"/>
            </w:pPr>
            <w:r/>
            <w:r>
              <w:rPr>
                <w:sz w:val="16"/>
              </w:rPr>
              <w:t>299 (21.2)</w:t>
            </w:r>
          </w:p>
        </w:tc>
        <w:tc>
          <w:tcPr>
            <w:tcW w:type="dxa" w:w="2409"/>
          </w:tcPr>
          <w:p>
            <w:pPr>
              <w:jc w:val="center"/>
            </w:pPr>
            <w:r/>
            <w:r>
              <w:rPr>
                <w:sz w:val="16"/>
              </w:rPr>
              <w:t>52 (45.2)</w:t>
            </w:r>
          </w:p>
        </w:tc>
        <w:tc>
          <w:tcPr>
            <w:tcW w:type="dxa" w:w="2409"/>
          </w:tcPr>
          <w:p>
            <w:pPr>
              <w:jc w:val="center"/>
            </w:pPr>
            <w:r/>
            <w:r>
              <w:rPr>
                <w:sz w:val="16"/>
              </w:rPr>
              <w:t>0.0000</w:t>
            </w:r>
          </w:p>
        </w:tc>
      </w:tr>
      <w:tr>
        <w:tc>
          <w:tcPr>
            <w:tcW w:type="dxa" w:w="2409"/>
          </w:tcPr>
          <w:p>
            <w:pPr>
              <w:jc w:val="left"/>
            </w:pPr>
            <w:r/>
            <w:r>
              <w:rPr>
                <w:sz w:val="16"/>
              </w:rPr>
              <w:t>RA dilation — n (%)</w:t>
            </w:r>
          </w:p>
        </w:tc>
        <w:tc>
          <w:tcPr>
            <w:tcW w:type="dxa" w:w="2409"/>
          </w:tcPr>
          <w:p>
            <w:pPr>
              <w:jc w:val="center"/>
            </w:pPr>
            <w:r/>
            <w:r>
              <w:rPr>
                <w:sz w:val="16"/>
              </w:rPr>
              <w:t>81 (5.7)</w:t>
            </w:r>
          </w:p>
        </w:tc>
        <w:tc>
          <w:tcPr>
            <w:tcW w:type="dxa" w:w="2409"/>
          </w:tcPr>
          <w:p>
            <w:pPr>
              <w:jc w:val="center"/>
            </w:pPr>
            <w:r/>
            <w:r>
              <w:rPr>
                <w:sz w:val="16"/>
              </w:rPr>
              <w:t>11 (9.6)</w:t>
            </w:r>
          </w:p>
        </w:tc>
        <w:tc>
          <w:tcPr>
            <w:tcW w:type="dxa" w:w="2409"/>
          </w:tcPr>
          <w:p>
            <w:pPr>
              <w:jc w:val="center"/>
            </w:pPr>
            <w:r/>
            <w:r>
              <w:rPr>
                <w:sz w:val="16"/>
              </w:rPr>
              <w:t>0.1474</w:t>
            </w:r>
          </w:p>
        </w:tc>
      </w:tr>
      <w:tr>
        <w:tc>
          <w:tcPr>
            <w:tcW w:type="dxa" w:w="2409"/>
          </w:tcPr>
          <w:p>
            <w:pPr>
              <w:jc w:val="left"/>
            </w:pPr>
            <w:r/>
            <w:r>
              <w:rPr>
                <w:sz w:val="16"/>
              </w:rPr>
              <w:t>STE — n (%)</w:t>
            </w:r>
          </w:p>
        </w:tc>
        <w:tc>
          <w:tcPr>
            <w:tcW w:type="dxa" w:w="2409"/>
          </w:tcPr>
          <w:p>
            <w:pPr>
              <w:jc w:val="center"/>
            </w:pPr>
            <w:r/>
            <w:r>
              <w:rPr>
                <w:sz w:val="16"/>
              </w:rPr>
              <w:t>909 (64.5)</w:t>
            </w:r>
          </w:p>
        </w:tc>
        <w:tc>
          <w:tcPr>
            <w:tcW w:type="dxa" w:w="2409"/>
          </w:tcPr>
          <w:p>
            <w:pPr>
              <w:jc w:val="center"/>
            </w:pPr>
            <w:r/>
            <w:r>
              <w:rPr>
                <w:sz w:val="16"/>
              </w:rPr>
              <w:t>66 (57.4)</w:t>
            </w:r>
          </w:p>
        </w:tc>
        <w:tc>
          <w:tcPr>
            <w:tcW w:type="dxa" w:w="2409"/>
          </w:tcPr>
          <w:p>
            <w:pPr>
              <w:jc w:val="center"/>
            </w:pPr>
            <w:r/>
            <w:r>
              <w:rPr>
                <w:sz w:val="16"/>
              </w:rPr>
              <w:t>0.1531</w:t>
            </w:r>
          </w:p>
        </w:tc>
      </w:tr>
      <w:tr>
        <w:tc>
          <w:tcPr>
            <w:tcW w:type="dxa" w:w="2409"/>
          </w:tcPr>
          <w:p>
            <w:pPr>
              <w:jc w:val="left"/>
            </w:pPr>
            <w:r/>
            <w:r>
              <w:rPr>
                <w:sz w:val="16"/>
              </w:rPr>
              <w:t>Pathological Q/OMI — n (%)</w:t>
            </w:r>
          </w:p>
        </w:tc>
        <w:tc>
          <w:tcPr>
            <w:tcW w:type="dxa" w:w="2409"/>
          </w:tcPr>
          <w:p>
            <w:pPr>
              <w:jc w:val="center"/>
            </w:pPr>
            <w:r/>
            <w:r>
              <w:rPr>
                <w:sz w:val="16"/>
              </w:rPr>
              <w:t>760 (53.9)</w:t>
            </w:r>
          </w:p>
        </w:tc>
        <w:tc>
          <w:tcPr>
            <w:tcW w:type="dxa" w:w="2409"/>
          </w:tcPr>
          <w:p>
            <w:pPr>
              <w:jc w:val="center"/>
            </w:pPr>
            <w:r/>
            <w:r>
              <w:rPr>
                <w:sz w:val="16"/>
              </w:rPr>
              <w:t>59 (51.3)</w:t>
            </w:r>
          </w:p>
        </w:tc>
        <w:tc>
          <w:tcPr>
            <w:tcW w:type="dxa" w:w="2409"/>
          </w:tcPr>
          <w:p>
            <w:pPr>
              <w:jc w:val="center"/>
            </w:pPr>
            <w:r/>
            <w:r>
              <w:rPr>
                <w:sz w:val="16"/>
              </w:rPr>
              <w:t>0.6544</w:t>
            </w:r>
          </w:p>
        </w:tc>
      </w:tr>
      <w:tr>
        <w:tc>
          <w:tcPr>
            <w:tcW w:type="dxa" w:w="2409"/>
          </w:tcPr>
          <w:p>
            <w:pPr>
              <w:jc w:val="left"/>
            </w:pPr>
            <w:r/>
            <w:r>
              <w:rPr>
                <w:sz w:val="16"/>
              </w:rPr>
              <w:t>Anterior STE/LBBB — n (%)</w:t>
            </w:r>
          </w:p>
        </w:tc>
        <w:tc>
          <w:tcPr>
            <w:tcW w:type="dxa" w:w="2409"/>
          </w:tcPr>
          <w:p>
            <w:pPr>
              <w:jc w:val="center"/>
            </w:pPr>
            <w:r/>
            <w:r>
              <w:rPr>
                <w:sz w:val="16"/>
              </w:rPr>
              <w:t>576 (40.9)</w:t>
            </w:r>
          </w:p>
        </w:tc>
        <w:tc>
          <w:tcPr>
            <w:tcW w:type="dxa" w:w="2409"/>
          </w:tcPr>
          <w:p>
            <w:pPr>
              <w:jc w:val="center"/>
            </w:pPr>
            <w:r/>
            <w:r>
              <w:rPr>
                <w:sz w:val="16"/>
              </w:rPr>
              <w:t>46 (40.0)</w:t>
            </w:r>
          </w:p>
        </w:tc>
        <w:tc>
          <w:tcPr>
            <w:tcW w:type="dxa" w:w="2409"/>
          </w:tcPr>
          <w:p>
            <w:pPr>
              <w:jc w:val="center"/>
            </w:pPr>
            <w:r/>
            <w:r>
              <w:rPr>
                <w:sz w:val="16"/>
              </w:rPr>
              <w:t>0.9315</w:t>
            </w:r>
          </w:p>
        </w:tc>
      </w:tr>
      <w:tr>
        <w:tc>
          <w:tcPr>
            <w:tcW w:type="dxa" w:w="2409"/>
          </w:tcPr>
          <w:p>
            <w:pPr>
              <w:jc w:val="left"/>
            </w:pPr>
            <w:r/>
            <w:r>
              <w:rPr>
                <w:sz w:val="16"/>
              </w:rPr>
              <w:t>Cardiomegaly — n (%)</w:t>
            </w:r>
          </w:p>
        </w:tc>
        <w:tc>
          <w:tcPr>
            <w:tcW w:type="dxa" w:w="2409"/>
          </w:tcPr>
          <w:p>
            <w:pPr>
              <w:jc w:val="center"/>
            </w:pPr>
            <w:r/>
            <w:r>
              <w:rPr>
                <w:sz w:val="16"/>
              </w:rPr>
              <w:t>934 (66.3)</w:t>
            </w:r>
          </w:p>
        </w:tc>
        <w:tc>
          <w:tcPr>
            <w:tcW w:type="dxa" w:w="2409"/>
          </w:tcPr>
          <w:p>
            <w:pPr>
              <w:jc w:val="center"/>
            </w:pPr>
            <w:r/>
            <w:r>
              <w:rPr>
                <w:sz w:val="16"/>
              </w:rPr>
              <w:t>83 (72.2)</w:t>
            </w:r>
          </w:p>
        </w:tc>
        <w:tc>
          <w:tcPr>
            <w:tcW w:type="dxa" w:w="2409"/>
          </w:tcPr>
          <w:p>
            <w:pPr>
              <w:jc w:val="center"/>
            </w:pPr>
            <w:r/>
            <w:r>
              <w:rPr>
                <w:sz w:val="16"/>
              </w:rPr>
              <w:t>0.2360</w:t>
            </w:r>
          </w:p>
        </w:tc>
      </w:tr>
      <w:tr>
        <w:tc>
          <w:tcPr>
            <w:tcW w:type="dxa" w:w="2409"/>
          </w:tcPr>
          <w:p>
            <w:pPr>
              <w:jc w:val="left"/>
            </w:pPr>
            <w:r/>
            <w:r>
              <w:rPr>
                <w:sz w:val="16"/>
              </w:rPr>
              <w:t>Pulmonary edema — n (%)</w:t>
            </w:r>
          </w:p>
        </w:tc>
        <w:tc>
          <w:tcPr>
            <w:tcW w:type="dxa" w:w="2409"/>
          </w:tcPr>
          <w:p>
            <w:pPr>
              <w:jc w:val="center"/>
            </w:pPr>
            <w:r/>
            <w:r>
              <w:rPr>
                <w:sz w:val="16"/>
              </w:rPr>
              <w:t>403 (28.6)</w:t>
            </w:r>
          </w:p>
        </w:tc>
        <w:tc>
          <w:tcPr>
            <w:tcW w:type="dxa" w:w="2409"/>
          </w:tcPr>
          <w:p>
            <w:pPr>
              <w:jc w:val="center"/>
            </w:pPr>
            <w:r/>
            <w:r>
              <w:rPr>
                <w:sz w:val="16"/>
              </w:rPr>
              <w:t>53 (46.1)</w:t>
            </w:r>
          </w:p>
        </w:tc>
        <w:tc>
          <w:tcPr>
            <w:tcW w:type="dxa" w:w="2409"/>
          </w:tcPr>
          <w:p>
            <w:pPr>
              <w:jc w:val="center"/>
            </w:pPr>
            <w:r/>
            <w:r>
              <w:rPr>
                <w:sz w:val="16"/>
              </w:rP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Variabel</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STEMI (n=1.047)</w:t>
            </w:r>
          </w:p>
        </w:tc>
        <w:tc>
          <w:tcPr>
            <w:tcW w:type="dxa" w:w="1856"/>
            <w:shd w:val="clear" w:fill="D9E2F3"/>
          </w:tcPr>
          <w:p>
            <w:pPr>
              <w:jc w:val="center"/>
              <w:spacing w:line="360" w:lineRule="auto"/>
            </w:pPr>
            <w:r>
              <w:rPr>
                <w:rFonts w:ascii="Times New Roman" w:hAnsi="Times New Roman" w:cs="Times New Roman"/>
                <w:sz w:val="24"/>
                <w:szCs w:val="24"/>
              </w:rPr>
              <w:t>NSTEMI (n=477)</w:t>
            </w:r>
            <w:r>
              <w:rPr>
                <w:rFonts w:ascii="Times New Roman" w:hAnsi="Times New Roman" w:cs="Times New Roman"/>
                <w:b/>
                <w:sz w:val="24"/>
                <w:szCs w:val="24"/>
              </w:rPr>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rPr>
          <w:rFonts w:ascii="Times New Roman" w:hAnsi="Times New Roman" w:cs="Times New Roman"/>
          <w:b w:val="0"/>
          <w:i w:val="0"/>
          <w:sz w:val="24"/>
          <w:szCs w:val="24"/>
        </w:rPr>
        <w:t>Rata-rata AUC dari validasi silang 5-lipat yang diulang pada 10 seed acak adalah 0,818 dengan standar deviasi 0,003 (rentang 0,814-0,824), menunjukkan diskriminasi yang baik dan stabilitas yang sangat baik antar seed.</w:t>
      </w:r>
    </w:p>
    <w:p>
      <w:pPr>
        <w:spacing w:before="120" w:after="60" w:line="360" w:lineRule="auto"/>
        <w:jc w:val="center"/>
      </w:pPr>
      <w:r>
        <w:rPr>
          <w:rFonts w:ascii="Times New Roman" w:hAnsi="Times New Roman" w:cs="Times New Roman"/>
          <w:sz w:val="24"/>
          <w:szCs w:val="24"/>
        </w:rPr>
        <w:drawing>
          <wp:inline>
            <wp:extent cx="4320000" cy="3769519"/>
            <wp:docPr id="3" name="Picture 3"/>
            <wp:cNvGraphicFramePr>
              <a:graphicFrameLocks noChangeAspect="1"/>
            </wp:cNvGraphicFramePr>
            <a:graphic>
              <a:graphicData uri="http://schemas.openxmlformats.org/drawingml/2006/picture">
                <pic:pic>
                  <pic:nvPicPr>
                    <pic:cNvPr id="0" name="01_roc_curve.png"/>
                    <pic:cNvPicPr/>
                  </pic:nvPicPr>
                  <pic:blipFill>
                    <a:blip r:embed="rId12"/>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rPr>
          <w:rFonts w:ascii="Times New Roman" w:hAnsi="Times New Roman" w:cs="Times New Roman"/>
          <w:b w:val="0"/>
          <w:i w:val="0"/>
          <w:sz w:val="24"/>
          <w:szCs w:val="24"/>
        </w:rPr>
        <w:t>Ambang batas safety (0,069) dipilih dengan prioritas sensitivitas ≥97,5% untuk meminimalkan false negative pada skrining awal di IGD. Pada ambang batas ini, model mencapai sensitivitas 98,3% (FN=2) dengan spesifisitas 19,7%. Sementara itu, ambang batas Youden (0,279) memberikan keseimbangan optimal antara sensitivitas (80,9%) dan spesifisitas (70,6%) untuk stratifikasi triase definitif.</w:t>
      </w:r>
    </w:p>
    <w:p>
      <w:pPr>
        <w:spacing w:lineRule="auto" w:line="360"/>
        <w:ind w:firstLine="720"/>
        <w:jc w:val="both"/>
      </w:pPr>
      <w:r>
        <w:rPr>
          <w:sz w:val="22"/>
        </w:rPr>
        <w:t>Ambang batas Youden (0,279) dihitung menggunakan indeks Youden (sensitivitas + spesifisitas - 1) untuk memaksimalkan akurasi klasifikasi secara keseluruhan. Pada ambang ini, sensitivitas menurun menjadi 80,9%, namun spesifisitas meningkat menjadi 70,6%, dengan PPV 18,3%. Ambang ini lebih sesuai untuk stratifikasi triase definitif karena memberikan keseimbangan optimal antara deteksi kasus dan kendali false positive.</w:t>
      </w:r>
    </w:p>
    <w:p>
      <w:pPr>
        <w:spacing w:before="120" w:after="60" w:line="360" w:lineRule="auto"/>
        <w:jc w:val="center"/>
      </w:pPr>
      <w:r>
        <w:rPr>
          <w:rFonts w:ascii="Times New Roman" w:hAnsi="Times New Roman" w:cs="Times New Roman"/>
          <w:sz w:val="24"/>
          <w:szCs w:val="24"/>
        </w:rPr>
        <w:drawing>
          <wp:inline>
            <wp:extent cx="4320000" cy="2571636"/>
            <wp:docPr id="4" name="Picture 4"/>
            <wp:cNvGraphicFramePr>
              <a:graphicFrameLocks noChangeAspect="1"/>
            </wp:cNvGraphicFramePr>
            <a:graphic>
              <a:graphicData uri="http://schemas.openxmlformats.org/drawingml/2006/picture">
                <pic:pic>
                  <pic:nvPicPr>
                    <pic:cNvPr id="0" name="05_threshold_performance.png"/>
                    <pic:cNvPicPr/>
                  </pic:nvPicPr>
                  <pic:blipFill>
                    <a:blip r:embed="rId1"/>
                    <a:stretch>
                      <a:fillRect/>
                    </a:stretch>
                  </pic:blipFill>
                  <pic:spPr>
                    <a:xfrm>
                      <a:off x="0" y="0"/>
                      <a:ext cx="4320000" cy="2571636"/>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rPr>
          <w:rFonts w:ascii="Times New Roman" w:hAnsi="Times New Roman" w:cs="Times New Roman"/>
          <w:b w:val="0"/>
          <w:i w:val="0"/>
          <w:sz w:val="24"/>
          <w:szCs w:val="24"/>
        </w:rPr>
        <w:t>Matriks konfusi disusun berdasarkan prediksi out-of-fold dari validasi silang 5-lipat, di mana setiap pasien menjadi bagian dari data uji tepat satu kali sehingga seluruh 1524 pasien memiliki prediksi yang tidak bias. Pada ambang batas safety (0,069) dengan pendekatan safety-first yang memprioritaskan sensitivitas tinggi, model mencapai sensitivitas 98,3% (113 dari 115 pasien mortalitas terdeteksi) dengan spesifisitas 19,7% (277 dari 1.409 pasien hidup terklasifikasi benar). Hanya 2 pasien yang terlewatkan (false negative rate 1,7%) dan 1.132 pasien merupakan false positive (90,9% dari total pasien terflag sebagai risiko tinggi).</w:t>
      </w:r>
    </w:p>
    <w:p>
      <w:pPr>
        <w:spacing w:before="120" w:after="60" w:line="360" w:lineRule="auto"/>
        <w:jc w:val="center"/>
      </w:pPr>
      <w:r>
        <w:rPr>
          <w:rFonts w:ascii="Times New Roman" w:hAnsi="Times New Roman" w:cs="Times New Roman"/>
          <w:sz w:val="24"/>
          <w:szCs w:val="24"/>
        </w:rPr>
        <w:drawing>
          <wp:inline>
            <wp:extent cx="3600000" cy="2985415"/>
            <wp:docPr id="5" name="Picture 5"/>
            <wp:cNvGraphicFramePr>
              <a:graphicFrameLocks noChangeAspect="1"/>
            </wp:cNvGraphicFramePr>
            <a:graphic>
              <a:graphicData uri="http://schemas.openxmlformats.org/drawingml/2006/picture">
                <pic:pic>
                  <pic:nvPicPr>
                    <pic:cNvPr id="0" name="07_confusion_matrix.png"/>
                    <pic:cNvPicPr/>
                  </pic:nvPicPr>
                  <pic:blipFill>
                    <a:blip r:embed="rId2"/>
                    <a:stretch>
                      <a:fillRect/>
                    </a:stretch>
                  </pic:blipFill>
                  <pic:spPr>
                    <a:xfrm>
                      <a:off x="0" y="0"/>
                      <a:ext cx="3600000" cy="2985415"/>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3.3 Matriks Konfusi Model Random Forest pada Ambang Batas Safety 0,069</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769519"/>
            <wp:docPr id="6" name="Picture 6"/>
            <wp:cNvGraphicFramePr>
              <a:graphicFrameLocks noChangeAspect="1"/>
            </wp:cNvGraphicFramePr>
            <a:graphic>
              <a:graphicData uri="http://schemas.openxmlformats.org/drawingml/2006/picture">
                <pic:pic>
                  <pic:nvPicPr>
                    <pic:cNvPr id="0" name="02_calibration_curve.png"/>
                    <pic:cNvPicPr/>
                  </pic:nvPicPr>
                  <pic:blipFill>
                    <a:blip r:embed="rId3"/>
                    <a:stretch>
                      <a:fillRect/>
                    </a:stretch>
                  </pic:blipFill>
                  <pic:spPr>
                    <a:xfrm>
                      <a:off x="0" y="0"/>
                      <a:ext cx="4320000" cy="376951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rPr>
          <w:sz w:val="22"/>
        </w:rP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0,098.</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before="120" w:after="60" w:line="360" w:lineRule="auto"/>
        <w:jc w:val="center"/>
      </w:pPr>
      <w:r>
        <w:rPr>
          <w:rFonts w:ascii="Times New Roman" w:hAnsi="Times New Roman" w:cs="Times New Roman"/>
          <w:sz w:val="24"/>
          <w:szCs w:val="24"/>
        </w:rPr>
        <w:drawing>
          <wp:inline>
            <wp:extent cx="4320000" cy="3222684"/>
            <wp:docPr id="7" name="Picture 7"/>
            <wp:cNvGraphicFramePr>
              <a:graphicFrameLocks noChangeAspect="1"/>
            </wp:cNvGraphicFramePr>
            <a:graphic>
              <a:graphicData uri="http://schemas.openxmlformats.org/drawingml/2006/picture">
                <pic:pic>
                  <pic:nvPicPr>
                    <pic:cNvPr id="0" name="03_dca_curve.png"/>
                    <pic:cNvPicPr/>
                  </pic:nvPicPr>
                  <pic:blipFill>
                    <a:blip r:embed="rId4"/>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rPr>
          <w:rFonts w:ascii="Times New Roman" w:hAnsi="Times New Roman" w:cs="Times New Roman"/>
          <w:b w:val="0"/>
          <w:i w:val="0"/>
          <w:sz w:val="24"/>
          <w:szCs w:val="24"/>
        </w:rPr>
        <w:t>Mengingat ketidakseimbangan kelas (class imbalance) pada dataset (hanya 7,5% mortalitas), Precision-Recall Curve (PRC) memberikan evaluasi yang lebih informatif dibandingkan ROC. Area Under Precision-Recall Curve (AUPRC) model adalah 0,316, yang menunjukkan performa yang baik dalam mengidentifikasi kelas minoritas (mortalitas).</w:t>
      </w:r>
    </w:p>
    <w:p>
      <w:pPr>
        <w:spacing w:before="120" w:after="60" w:line="360" w:lineRule="auto"/>
        <w:jc w:val="center"/>
      </w:pPr>
      <w:r>
        <w:rPr>
          <w:rFonts w:ascii="Times New Roman" w:hAnsi="Times New Roman" w:cs="Times New Roman"/>
          <w:sz w:val="24"/>
          <w:szCs w:val="24"/>
        </w:rPr>
        <w:drawing>
          <wp:inline>
            <wp:extent cx="4320000" cy="3222684"/>
            <wp:docPr id="8" name="Picture 8"/>
            <wp:cNvGraphicFramePr>
              <a:graphicFrameLocks noChangeAspect="1"/>
            </wp:cNvGraphicFramePr>
            <a:graphic>
              <a:graphicData uri="http://schemas.openxmlformats.org/drawingml/2006/picture">
                <pic:pic>
                  <pic:nvPicPr>
                    <pic:cNvPr id="0" name="10_pr_curve.png"/>
                    <pic:cNvPicPr/>
                  </pic:nvPicPr>
                  <pic:blipFill>
                    <a:blip r:embed="rId5"/>
                    <a:stretch>
                      <a:fillRect/>
                    </a:stretch>
                  </pic:blipFill>
                  <pic:spPr>
                    <a:xfrm>
                      <a:off x="0" y="0"/>
                      <a:ext cx="4320000" cy="322268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rPr>
          <w:rFonts w:ascii="Times New Roman" w:hAnsi="Times New Roman" w:cs="Times New Roman"/>
          <w:b w:val="0"/>
          <w:i w:val="0"/>
          <w:sz w:val="24"/>
          <w:szCs w:val="24"/>
        </w:rPr>
        <w:t>Nilai AUPRC 0,316 secara signifikan lebih tinggi dibandingkan prevalsi baseline (7,5%), mengonfirmasi bahwa model memiliki kemampuan prediktif yang bermakna di luar random guessing. Precision tetap terjaga pada level yang wajar bahkan pada recall yang tinggi, menunjukkan bahwa model tidak hanya mendeteksi kasus positif tetapi juga melakukannya dengan presisi yang memadai.</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before="120" w:after="60" w:line="360" w:lineRule="auto"/>
        <w:jc w:val="center"/>
      </w:pPr>
      <w:r>
        <w:rPr>
          <w:rFonts w:ascii="Times New Roman" w:hAnsi="Times New Roman" w:cs="Times New Roman"/>
          <w:sz w:val="24"/>
          <w:szCs w:val="24"/>
        </w:rPr>
        <w:drawing>
          <wp:inline>
            <wp:extent cx="4320000" cy="2572503"/>
            <wp:docPr id="9" name="Picture 9"/>
            <wp:cNvGraphicFramePr>
              <a:graphicFrameLocks noChangeAspect="1"/>
            </wp:cNvGraphicFramePr>
            <a:graphic>
              <a:graphicData uri="http://schemas.openxmlformats.org/drawingml/2006/picture">
                <pic:pic>
                  <pic:nvPicPr>
                    <pic:cNvPr id="0" name="06_probability_distribution.png"/>
                    <pic:cNvPicPr/>
                  </pic:nvPicPr>
                  <pic:blipFill>
                    <a:blip r:embed="rId6"/>
                    <a:stretch>
                      <a:fillRect/>
                    </a:stretch>
                  </pic:blipFill>
                  <pic:spPr>
                    <a:xfrm>
                      <a:off x="0" y="0"/>
                      <a:ext cx="4320000" cy="257250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Peringkat</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Fitur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Gini Importance</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Ureum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eGFR</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0,1403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ginjal; penanda perfusi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Usia</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0,1155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Kerentanan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LVOT VTI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0,0935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 curah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5</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Hemoglobin</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0,0754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Kapasitas oksigen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LVEF</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0,0729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sistolik ventrikel kiri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Heart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0,0697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kompensasi otonom</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Kalium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Keseimbangan elektrolit; risiko aritmia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Respiratory Rate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0,0606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Pola napas; syok/insufisiensi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APTT</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0,0551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Status koagulasi; risiko perdarahan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Tekanan Darah Sistolik</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0,0494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Hemodinamik sistemik</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Killip Class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0,0420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Klasifikasi klinis gagal jantung</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t>13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TAPSE</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r>
              <w:t>0,0242</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Fungsi ventrikel kanan</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4320000" cy="3224044"/>
            <wp:docPr id="10" name="Picture 10"/>
            <wp:cNvGraphicFramePr>
              <a:graphicFrameLocks noChangeAspect="1"/>
            </wp:cNvGraphicFramePr>
            <a:graphic>
              <a:graphicData uri="http://schemas.openxmlformats.org/drawingml/2006/picture">
                <pic:pic>
                  <pic:nvPicPr>
                    <pic:cNvPr id="0" name="04_feature_importance.png"/>
                    <pic:cNvPicPr/>
                  </pic:nvPicPr>
                  <pic:blipFill>
                    <a:blip r:embed="rId7"/>
                    <a:stretch>
                      <a:fillRect/>
                    </a:stretch>
                  </pic:blipFill>
                  <pic:spPr>
                    <a:xfrm>
                      <a:off x="0" y="0"/>
                      <a:ext cx="4320000" cy="3224044"/>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teratas adalah ureum, eGFR, dan usia. Dominasi parameter fungsi ginjal (eGFR dan ureum) menunjukkan bahwa disfungsi ginjal merupakan penanda paling sensitif untuk hipoperfusi organ dan keparahan penyakit pada pasien SKA. LVOT VTI sebagai fitur ketiga terpenting mengonfirmasi pentingnya penilaian curah jantung secara langsung melalui ekokardiografi.</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before="120" w:after="60" w:line="360" w:lineRule="auto"/>
        <w:jc w:val="center"/>
      </w:pPr>
      <w:r>
        <w:rPr>
          <w:rFonts w:ascii="Times New Roman" w:hAnsi="Times New Roman" w:cs="Times New Roman"/>
          <w:sz w:val="24"/>
          <w:szCs w:val="24"/>
        </w:rPr>
        <w:drawing>
          <wp:inline>
            <wp:extent cx="5040000" cy="3764563"/>
            <wp:docPr id="11" name="Picture 11"/>
            <wp:cNvGraphicFramePr>
              <a:graphicFrameLocks noChangeAspect="1"/>
            </wp:cNvGraphicFramePr>
            <a:graphic>
              <a:graphicData uri="http://schemas.openxmlformats.org/drawingml/2006/picture">
                <pic:pic>
                  <pic:nvPicPr>
                    <pic:cNvPr id="0" name="08_ablation_analysis.png"/>
                    <pic:cNvPicPr/>
                  </pic:nvPicPr>
                  <pic:blipFill>
                    <a:blip r:embed="rId8"/>
                    <a:stretch>
                      <a:fillRect/>
                    </a:stretch>
                  </pic:blipFill>
                  <pic:spPr>
                    <a:xfrm>
                      <a:off x="0" y="0"/>
                      <a:ext cx="5040000" cy="376456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rPr>
          <w:rFonts w:ascii="Times New Roman" w:hAnsi="Times New Roman" w:cs="Times New Roman"/>
          <w:b w:val="0"/>
          <w:i w:val="0"/>
          <w:sz w:val="24"/>
          <w:szCs w:val="24"/>
        </w:rPr>
        <w:t>Berdasarkan probabilitas prediksi dari model Random Forest, dikembangkan sistem triase bertingkat tiga tingkat untuk stratifikasi risiko pasien di IGD: tingkat pertama (risiko rendah) dengan probabilitas &lt;0,069 direkomendasikan untuk rawat inap lantai dasar (ward), tingkat kedua (risiko sedang) dengan probabilitas 0,069–0,279 direkomendasikan untuk perawatan High Care Unit (HCU), dan tingkat ketiga (risiko tinggi) dengan probabilitas ≥0,279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Kategori Risiko</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Ambang Batas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Mortalitas</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Rekomendasi Tatalaksana</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r>
            <w:r/>
            <w:r>
              <w:t>Risiko Rendah / Ward</w:t>
            </w:r>
          </w:p>
        </w:tc>
        <w:tc>
          <w:tcPr>
            <w:tcW w:type="dxa" w:w="1485"/>
          </w:tcPr>
          <w:p>
            <w:r>
              <w:t>&lt; 0,069</w:t>
            </w:r>
          </w:p>
        </w:tc>
        <w:tc>
          <w:tcPr>
            <w:tcW w:type="dxa" w:w="1485"/>
          </w:tcPr>
          <w:p>
            <w:r>
              <w:t>279</w:t>
            </w:r>
          </w:p>
        </w:tc>
        <w:tc>
          <w:tcPr>
            <w:tcW w:type="dxa" w:w="1485"/>
          </w:tcPr>
          <w:p>
            <w:r>
              <w:t>2 (0,7%)</w:t>
            </w:r>
          </w:p>
        </w:tc>
        <w:tc>
          <w:tcPr>
            <w:tcW w:type="dxa" w:w="1485"/>
          </w:tcPr>
          <w:p>
            <w:r>
              <w:t>Rawat inap lantai dasar; monitoring rutin</w:t>
            </w:r>
          </w:p>
        </w:tc>
      </w:tr>
      <w:tr>
        <w:tc>
          <w:tcPr>
            <w:tcW w:type="dxa" w:w="1485"/>
          </w:tcPr>
          <w:p>
            <w:r>
              <w:t>Risiko Sedang / HCU</w:t>
            </w:r>
          </w:p>
        </w:tc>
        <w:tc>
          <w:tcPr>
            <w:tcW w:type="dxa" w:w="1485"/>
          </w:tcPr>
          <w:p>
            <w:r>
              <w:t>0,069 – 0,279</w:t>
            </w:r>
          </w:p>
        </w:tc>
        <w:tc>
          <w:tcPr>
            <w:tcW w:type="dxa" w:w="1485"/>
          </w:tcPr>
          <w:p>
            <w:r>
              <w:t>738</w:t>
            </w:r>
          </w:p>
        </w:tc>
        <w:tc>
          <w:tcPr>
            <w:tcW w:type="dxa" w:w="1485"/>
          </w:tcPr>
          <w:p>
            <w:r>
              <w:t>20 (2,7%)</w:t>
            </w:r>
          </w:p>
        </w:tc>
        <w:tc>
          <w:tcPr>
            <w:tcW w:type="dxa" w:w="1485"/>
          </w:tcPr>
          <w:p>
            <w:r>
              <w:t>Perawatan HCU; monitoring ketat intermediat</w:t>
            </w:r>
          </w:p>
        </w:tc>
      </w:tr>
      <w:tr>
        <w:tc>
          <w:tcPr>
            <w:tcW w:type="dxa" w:w="1485"/>
          </w:tcPr>
          <w:p>
            <w:r>
              <w:t>Risiko Tinggi / ICU</w:t>
            </w:r>
          </w:p>
        </w:tc>
        <w:tc>
          <w:tcPr>
            <w:tcW w:type="dxa" w:w="1485"/>
          </w:tcPr>
          <w:p>
            <w:r>
              <w:t>≥ 0,279</w:t>
            </w:r>
          </w:p>
        </w:tc>
        <w:tc>
          <w:tcPr>
            <w:tcW w:type="dxa" w:w="1485"/>
          </w:tcPr>
          <w:p>
            <w:r>
              <w:t>507</w:t>
            </w:r>
          </w:p>
        </w:tc>
        <w:tc>
          <w:tcPr>
            <w:tcW w:type="dxa" w:w="1485"/>
          </w:tcPr>
          <w:p>
            <w:r>
              <w:t>93 (18,3%)</w:t>
            </w:r>
          </w:p>
        </w:tc>
        <w:tc>
          <w:tcPr>
            <w:tcW w:type="dxa" w:w="1485"/>
          </w:tcPr>
          <w:p>
            <w:r>
              <w:t>Perawatan ICU intensif; monitoring ketat</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ini menunjukkan gradien risiko yang sangat jelas: dari 0,7% pada kelompok risiko rendah, 2,7% pada kelompok risiko sedang, hingga 18,3% pada kelompok risiko tinggi. Kelompok risiko tinggi (33,3% dari total populasi) menyumbang 80,9% dari seluruh kejadian mortalitas, menunjukkan efisiensi stratifikasi yang baik. Adanya kelompok risiko sedang (HCU) mencegah over-triage dengan mengalokasikan pasien moderate-risk ke unit perawatan intermediat, bukan ke ICU.</w:t>
      </w:r>
    </w:p>
    <w:p>
      <w:pPr>
        <w:spacing w:before="120" w:after="60" w:line="360" w:lineRule="auto"/>
        <w:jc w:val="center"/>
      </w:pPr>
      <w:r>
        <w:rPr>
          <w:rFonts w:ascii="Times New Roman" w:hAnsi="Times New Roman" w:cs="Times New Roman"/>
          <w:sz w:val="24"/>
          <w:szCs w:val="24"/>
        </w:rPr>
        <w:drawing>
          <wp:inline>
            <wp:extent cx="4320000" cy="1867683"/>
            <wp:docPr id="12" name="Picture 12"/>
            <wp:cNvGraphicFramePr>
              <a:graphicFrameLocks noChangeAspect="1"/>
            </wp:cNvGraphicFramePr>
            <a:graphic>
              <a:graphicData uri="http://schemas.openxmlformats.org/drawingml/2006/picture">
                <pic:pic>
                  <pic:nvPicPr>
                    <pic:cNvPr id="0" name="09_tiered_triage.png"/>
                    <pic:cNvPicPr/>
                  </pic:nvPicPr>
                  <pic:blipFill>
                    <a:blip r:embed="rId9"/>
                    <a:stretch>
                      <a:fillRect/>
                    </a:stretch>
                  </pic:blipFill>
                  <pic:spPr>
                    <a:xfrm>
                      <a:off x="0" y="0"/>
                      <a:ext cx="4320000" cy="1867683"/>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Luaran</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AUPRC</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Prevalensi</w:t>
            </w:r>
          </w:p>
        </w:tc>
        <w:tc>
          <w:tcPr>
            <w:tcW w:type="dxa" w:w="148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Interpretasi</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0,316</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baik</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before="120" w:after="60" w:line="360" w:lineRule="auto"/>
        <w:jc w:val="center"/>
      </w:pPr>
      <w:r>
        <w:rPr>
          <w:rFonts w:ascii="Times New Roman" w:hAnsi="Times New Roman" w:cs="Times New Roman"/>
          <w:sz w:val="24"/>
          <w:szCs w:val="24"/>
        </w:rPr>
        <w:drawing>
          <wp:inline>
            <wp:extent cx="5040000" cy="4458229"/>
            <wp:docPr id="13" name="Picture 13"/>
            <wp:cNvGraphicFramePr>
              <a:graphicFrameLocks noChangeAspect="1"/>
            </wp:cNvGraphicFramePr>
            <a:graphic>
              <a:graphicData uri="http://schemas.openxmlformats.org/drawingml/2006/picture">
                <pic:pic>
                  <pic:nvPicPr>
                    <pic:cNvPr id="0" name="12_thesis_composite.png"/>
                    <pic:cNvPicPr/>
                  </pic:nvPicPr>
                  <pic:blipFill>
                    <a:blip r:embed="rId10"/>
                    <a:stretch>
                      <a:fillRect/>
                    </a:stretch>
                  </pic:blipFill>
                  <pic:spPr>
                    <a:xfrm>
                      <a:off x="0" y="0"/>
                      <a:ext cx="5040000" cy="4458229"/>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performa terbaik untuk luaran mortalitas (AUC 0,818), diikuti oleh luaran komposit (AUC 0,742), dan syok kardiogenik baru (AUC 0,670). Perbedaan ini dapat dijelaskan oleh heterogenitas definisi dan pencatatan luaran SKG dalam rekam medis, serta kemungkinan overlap antara SKG yang sudah manifes saat admisi dan yang baru timbul selama perawatan.</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Metrik</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Random Forest</w:t>
            </w:r>
          </w:p>
        </w:tc>
        <w:tc>
          <w:tcPr>
            <w:tcW w:type="dxa" w:w="2475"/>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 ± 0,003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0,316 ± 0,003</w:t>
            </w:r>
          </w:p>
        </w:tc>
        <w:tc>
          <w:tcPr>
            <w:tcW w:type="dxa" w:w="2475"/>
          </w:tcPr>
          <w:p>
            <w:r>
              <w:t>0,301</w:t>
            </w:r>
          </w:p>
        </w:tc>
      </w:tr>
      <w:tr>
        <w:tc>
          <w:tcPr>
            <w:tcW w:type="dxa" w:w="2475"/>
          </w:tcPr>
          <w:p>
            <w:pPr>
              <w:jc w:val="center"/>
              <w:spacing w:line="360" w:lineRule="auto"/>
            </w:pPr>
            <w:r>
              <w:t>Sensitivitas (threshold safety)</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19,7%</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0,098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12</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Studi / Skor</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Populasi</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AUC</w:t>
            </w:r>
          </w:p>
        </w:tc>
        <w:tc>
          <w:tcPr>
            <w:tcW w:type="dxa" w:w="1856"/>
            <w:shd w:val="clear" w:fill="D9E2F3"/>
          </w:tcPr>
          <w:p>
            <w:pPr>
              <w:jc w:val="center"/>
              <w:spacing w:line="360" w:lineRule="auto"/>
            </w:pPr>
            <w:r>
              <w:rPr>
                <w:rFonts w:ascii="Times New Roman" w:hAnsi="Times New Roman" w:cs="Times New Roman"/>
                <w:sz w:val="24"/>
                <w:szCs w:val="24"/>
              </w:rPr>
            </w:r>
            <w:r>
              <w:rPr>
                <w:rFonts w:ascii="Times New Roman" w:hAnsi="Times New Roman" w:cs="Times New Roman"/>
                <w:b/>
                <w:sz w:val="24"/>
                <w:szCs w:val="24"/>
              </w:rPr>
              <w:t>Keterangan</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Random Forest (penelitian ini)</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STEMI/NSTEMI, n=1524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0,818</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13 fitur (termasuk ekokardiografi); populasi Indonesia</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Score (Granger, 2003)</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n=11.389</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GUSTO IIb</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GRACE 2.0 (Fox, 2014)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SKA, n=32.037</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0,800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8 variabel; registri global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STEMI (Morrow,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STEMI, n=14.114</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 variabel; in-hospital</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TIMI NSTEMI (Antman, 2000)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NSTEMI, n=1.571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7 variabel; 14 hari</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MEWS (Subbe, 2001)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IGD umum</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0,690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5 parameter fisiologis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Model Random Forest yang dikembangkan dalam penelitian ini menunjukkan AUC 0,818, yang lebih tinggi dari GRACE Score (0,790-0,800), TIMI STEMI (0,760), dan skor klinis sederhana seperti MEWS (0,316)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before="120" w:after="60" w:line="360" w:lineRule="auto"/>
        <w:jc w:val="center"/>
      </w:pPr>
      <w:r>
        <w:rPr>
          <w:rFonts w:ascii="Times New Roman" w:hAnsi="Times New Roman" w:cs="Times New Roman"/>
          <w:sz w:val="24"/>
          <w:szCs w:val="24"/>
        </w:rPr>
        <w:drawing>
          <wp:inline>
            <wp:extent cx="5040000" cy="3759797"/>
            <wp:docPr id="14" name="Picture 14"/>
            <wp:cNvGraphicFramePr>
              <a:graphicFrameLocks noChangeAspect="1"/>
            </wp:cNvGraphicFramePr>
            <a:graphic>
              <a:graphicData uri="http://schemas.openxmlformats.org/drawingml/2006/picture">
                <pic:pic>
                  <pic:nvPicPr>
                    <pic:cNvPr id="0" name="11_points_system.png"/>
                    <pic:cNvPicPr/>
                  </pic:nvPicPr>
                  <pic:blipFill>
                    <a:blip r:embed="rId11"/>
                    <a:stretch>
                      <a:fillRect/>
                    </a:stretch>
                  </pic:blipFill>
                  <pic:spPr>
                    <a:xfrm>
                      <a:off x="0" y="0"/>
                      <a:ext cx="5040000" cy="3759797"/>
                    </a:xfrm>
                    <a:prstGeom prst="rect"/>
                  </pic:spPr>
                </pic:pic>
              </a:graphicData>
            </a:graphic>
          </wp:inline>
        </w:drawing>
      </w:r>
    </w:p>
    <w:p>
      <w:pPr>
        <w:spacing w:lineRule="auto" w:line="360" w:before="60" w:after="120"/>
        <w:jc w:val="center"/>
      </w:pPr>
      <w:r>
        <w:rPr>
          <w:rFonts w:ascii="Times New Roman" w:hAnsi="Times New Roman" w:cs="Times New Roman"/>
          <w:b/>
          <w:sz w:val="24"/>
          <w:szCs w:val="24"/>
        </w:rPr>
        <w:t>Gambar 3.11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rPr>
          <w:rFonts w:ascii="Times New Roman" w:hAnsi="Times New Roman" w:cs="Times New Roman"/>
          <w:b w:val="0"/>
          <w:i w:val="0"/>
          <w:sz w:val="24"/>
          <w:szCs w:val="24"/>
        </w:rPr>
        <w:t>Penelitian ini berhasil mengembangkan model prediksi mortalitas in-hospital pada pasien STEMI dan NSTEMI menggunakan algoritma Random Forest dengan performa yang baik. AUC sebesar 0.818 (95% CI: 0.812-0.824) menunjukkan diskriminasi yang baik antara pasien yang meninggal dan selamat. Kalibrasi model juga baik dengan Brier score sebesar 0.098. Pada ambang batas Youden (0.279), model mencapai sensitivitas 80.9% dan spesifisitas 70.6%, dengan nilai prediktif positif 18.3% dan nilai prediktif negatif 97.8%. Sementara itu, pada ambang batas keselamatan (safety threshold) sebesar 0.069 yang dirancang untuk meminimalkan pasien yang terlewat (false negative), model mencapai sensitivitas 98.3% dengan hanya 2 pasien meninggal yang tidak terdeteksi, meskipun spesifisitas lebih rendah (19.7%).</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Validasi multi-seed (10 seed berbeda) yang dilakukan dalam penelitian ini memberikan gambaran yang lebih akurat mengenai stabilitas model. Dengan standar deviasi AUC hanya 0,003 dan rentang 0,814-0,824, model menunjukkan konsistensi yang sangat baik. Hal ini penting untuk menjamin bahwa performa model tidak bergantung pada pembagian data latih-uji yang kebetulan, melainkan merefleksikan kemampuan generalisasi yang sebenarnya.</w:t>
      </w:r>
    </w:p>
    <w:p>
      <w:pPr>
        <w:spacing w:lineRule="auto" w:line="360"/>
        <w:ind w:firstLine="720"/>
        <w:jc w:val="both"/>
      </w:pPr>
      <w:r>
        <w:rPr>
          <w:rFonts w:ascii="Times New Roman" w:hAnsi="Times New Roman" w:cs="Times New Roman"/>
          <w:b w:val="0"/>
          <w:i w:val="0"/>
          <w:sz w:val="24"/>
          <w:szCs w:val="24"/>
        </w:rPr>
        <w:t>Kalibrasi model yang baik (Brier score 0.098) merupakan temuan yang penting karena seringkali model machine learning dengan diskriminasi tinggi memiliki kalibrasi yang buruk (Christodoulou et al., 2019). Kalibrasi yang baik memastikan bahwa probabilitas yang diprediksi oleh model dapat diinterpretasikan secara langsung sebagai risiko aktual, yang merupakan prasyarat untuk pengambilan keputusan klinis yang informed.</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Dalam penelitian ini, Random Forest menunjukkan performa yang sedikit lebih baik dibandingkan XGBoost (AUC 0.818 vs 0,789). Temuan ini menarik karena XGBoost sering dianggap sebagai algoritma state-of-the-art untuk data tabular dan umumnya unggul dalam kompetisi machine learning (Chen dan Guestrin, 2016).</w:t>
      </w:r>
    </w:p>
    <w:p>
      <w:pPr>
        <w:spacing w:lineRule="auto" w:line="360"/>
        <w:ind w:firstLine="720"/>
        <w:jc w:val="both"/>
      </w:pPr>
      <w:r>
        <w:rPr>
          <w:rFonts w:ascii="Times New Roman" w:hAnsi="Times New Roman" w:cs="Times New Roman"/>
          <w:b w:val="0"/>
          <w:i w:val="0"/>
          <w:sz w:val="24"/>
          <w:szCs w:val="24"/>
        </w:rPr>
        <w:t>Beberapa faktor dapat menjelaskan keunggulan Random Forest dalam konteks ini. Pertama, ukuran dataset yang relatif moderat (n=1524 dengan 115 events) mungkin lebih sesuai untuk algoritma bagging seperti Random Forest yang memiliki varians lebih rendah. XGBoost, sebagai algoritma boosting, memiliki tendensi untuk overfitting pada dataset kecil meskipun regularisasi sudah dioptimalkan (Hastie et al., 2009). Kedua, Random Forest secara inheren lebih robust terhadap outlier dan noise, yang umum ditemukan dalam data rekam medis retrospektif. Ketiga, struktur pohon independen pada Random Forest menangkap interaksi fitur secara ensemble, sementara XGBoost membangun pohon secara sekuensial yang mungkin memperkuat noise.</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rPr>
          <w:rFonts w:ascii="Times New Roman" w:hAnsi="Times New Roman" w:cs="Times New Roman"/>
          <w:b w:val="0"/>
          <w:i w:val="0"/>
          <w:sz w:val="24"/>
          <w:szCs w:val="24"/>
        </w:rPr>
        <w:t>Kelompok risiko rendah (ward) dengan probabilitas prediksi kurang dari ambang safety (&lt; 0,069) terdiri dari 279 pasien (18,3% dari total populasi) dengan mortalitas 0,7% (2 dari 279 pasien). Kelompok ini memiliki risiko sangat rendah sehingga aman untuk ditatalaksana di rawat inap lantai dasar dengan monitoring rutin.</w:t>
      </w:r>
    </w:p>
    <w:p>
      <w:pPr>
        <w:spacing w:lineRule="auto" w:line="360"/>
        <w:ind w:firstLine="720"/>
        <w:jc w:val="both"/>
      </w:pPr>
      <w:r>
        <w:rPr>
          <w:rFonts w:ascii="Times New Roman" w:hAnsi="Times New Roman" w:cs="Times New Roman"/>
          <w:b w:val="0"/>
          <w:i w:val="0"/>
          <w:sz w:val="24"/>
          <w:szCs w:val="24"/>
        </w:rPr>
        <w:t>Kelompok risiko sedang (HCU) dengan probabilitas 0,069–0,279 mencakup 738 pasien (48,4% populasi) dengan mortalitas 2,7% (20 dari 115 kematian). Kelompok ini memerlukan monitoring yang lebih ketat dibandingkan pasien ward namun tidak memerlukan sumber daya intensif setingkat ICU. Sebaliknya, kelompok risiko tinggi dengan probabilitas prediksi ≥0,279 mencakup 507 pasien (33,3% dari populasi) namun menyumbang 80,9% dari seluruh kejadian mortalitas (93 dari 115 kematian). Mortalitas pada kelompok ini mencapai 18,3%, lebih dari dua puluh kali lipat kelompok risiko rendah.</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rPr>
          <w:sz w:val="22"/>
        </w:rPr>
        <w:t>AUC GRACE 2.0 adalah 0,766, lebih rendah dari AUC model Random Forest (0,818). Pada ambang GRACE ≥160 (setara dengan prediksi mortalitas sekitar 20%), GRACE mengidentifikasi 317 pasien (20,8% populasi) sebagai risiko tinggi dengan sensitivitas 57,4% (66 dari 115 kematian terdeteksi) dan spesifisitas 82,2%. Model Random Forest pada ambang Youden (0,279) mengidentifikasi 446 pasien (29,3% populasi) dengan sensitivitas 77,4% (89 dari 115 kematian) dan spesifisitas 74,7%. GRACE ≥160 memang memiliki spesifisitas lebih tinggi, tetapi model Random Forest mendeteksi 23 kematian tambahan dengan konsekuensi 129 pasien flagged tambahan.</w:t>
      </w:r>
    </w:p>
    <w:p>
      <w:r>
        <w:rPr>
          <w:sz w:val="22"/>
        </w:rPr>
        <w:t>Pada sensitivitas yang setara (77,4%), GRACE 2.0 memerlukan ambang ≥140 dan mengidentifikasi 622 pasien (40,8% populasi) sebagai risiko tinggi. Model Random Forest pada ambang Youden hanya mengidentifikasi 446 pasien (29,3% populasi) — selisih 176 pasien (28,3% lebih sedikit). Artinya, model Random Forest mencapai efisiensi stratifikasi yang lebih baik: lebih sedikit pasien dialokasikan ke ICU tanpa kehilangan deteksi kasus mortalitas.</w:t>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Namun, perlu dicatat bahwa model kami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Keunggulan model kami terletak pada beberapa aspek: (1) penggunaan data yang tersedia secara rutin dalam 24 jam pertama admisi, sehingga aplikatif di IGD; (2) interpretabilitas yang baik melalui feature importance; (3) kalibrasi yang tervalidasi; dan (4) sistem triase bertingkat yang siap pakai untuk stratifikasi risiko. Namun, validasi eksternal pada populasi yang berbeda masih diperlukan sebelum implementasi klinis yang luas.</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rPr>
          <w:rFonts w:ascii="Times New Roman" w:hAnsi="Times New Roman" w:cs="Times New Roman"/>
          <w:b w:val="0"/>
          <w:i w:val="0"/>
          <w:sz w:val="24"/>
          <w:szCs w:val="24"/>
        </w:rPr>
        <w:t>Selain itu, prediksi SKG secara fundamental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adekuat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3.11)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rPr>
          <w:rFonts w:ascii="Times New Roman" w:hAnsi="Times New Roman" w:cs="Times New Roman"/>
          <w:b w:val="0"/>
          <w:i w:val="0"/>
          <w:sz w:val="24"/>
          <w:szCs w:val="24"/>
        </w:rPr>
        <w:t>Namun, beberapa aspek TRIPOD+AI masih perlu ditingkatkan: (1) validasi eksternal pada kohort independen belum dilakukan; (2) analisis sensitivitas terkait data hilang belum komprehensif;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br w:type="page"/>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rPr>
          <w:rFonts w:ascii="Times New Roman" w:hAnsi="Times New Roman" w:cs="Times New Roman"/>
          <w:b w:val="0"/>
          <w:i w:val="0"/>
          <w:sz w:val="24"/>
          <w:szCs w:val="24"/>
        </w:rPr>
        <w:t>2. Model Random Forest yang dikembangkan menunjukkan performa diskriminasi yang baik dengan AUC 0.818 (95% CI: 0.812-0.824) dan kalibrasi yang baik dengan Brier score 0.098. Model konsisten pada validasi silang 10 seed dengan standar deviasi AUC 0.0032. Pada ambang Youden, model mencapai sensitivitas 80.9% dan spesifisitas 70.6% dengan flag positif 507 pasien (33,3% dari populasi).</w:t>
      </w:r>
    </w:p>
    <w:p>
      <w:pPr>
        <w:spacing w:lineRule="auto" w:line="360"/>
        <w:ind w:firstLine="720"/>
        <w:jc w:val="both"/>
      </w:pPr>
      <w:r>
        <w:rPr>
          <w:rFonts w:ascii="Times New Roman" w:hAnsi="Times New Roman" w:cs="Times New Roman"/>
          <w:b w:val="0"/>
          <w:i w:val="0"/>
          <w:sz w:val="24"/>
          <w:szCs w:val="24"/>
        </w:rPr>
        <w:t>3. Sistem triase tiga tingkat berdasarkan kombinasi ambang safety (0,069) dan Youden (0,279) mampu mengidentifikasi tiga strata risiko: kelompok risiko tinggi (ICU) dengan mortalitas 18,3% yang mencakup 33,3% populasi (507 pasien) namun menyumbang 80,9% kejadian mortalitas, kelompok risiko sedang (HCU) dengan mortalitas 2,7% (738 pasien, 48,4% populasi), dan kelompok risiko rendah (ward) dengan mortalitas 0,7% (279 pasien, 18,3% populasi).</w:t>
      </w:r>
    </w:p>
    <w:p>
      <w:pPr>
        <w:spacing w:lineRule="auto" w:line="360"/>
        <w:ind w:firstLine="720"/>
        <w:jc w:val="both"/>
      </w:pPr>
      <w:r>
        <w:rPr>
          <w:rFonts w:ascii="Times New Roman" w:hAnsi="Times New Roman" w:cs="Times New Roman"/>
          <w:b w:val="0"/>
          <w:i w:val="0"/>
          <w:sz w:val="24"/>
          <w:szCs w:val="24"/>
        </w:rPr>
        <w:t>4. Model Random Forest menunjukkan performa yang lebih baik dibandingkan XGBoost (AUC 0.818 vs 0,789) dan lebih unggul dari skor risiko konvensional seperti GRACE (AUC 0,745-0,831) dan TIMI (AUC 0,650-0,760) yang dilaporkan dalam literatur.</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rPr>
          <w:rFonts w:ascii="Times New Roman" w:hAnsi="Times New Roman" w:cs="Times New Roman"/>
          <w:b w:val="0"/>
          <w:i w:val="0"/>
          <w:sz w:val="24"/>
          <w:szCs w:val="24"/>
        </w:rPr>
        <w:t>4. Penambahan variabel prediktor yang lebih komprehensif,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 Cardiovascular Imaging*, 16(3), pp.233-271. https://doi.org/10.1093/ehjci/jev014.</w:t>
      </w:r>
    </w:p>
    <w:p>
      <w:pPr>
        <w:spacing w:after="60" w:line="360" w:lineRule="auto"/>
        <w:ind w:firstLine="709"/>
        <w:jc w:val="both"/>
      </w:pPr>
      <w:r>
        <w:rPr>
          <w:rFonts w:ascii="Times New Roman" w:hAnsi="Times New Roman" w:cs="Times New Roman"/>
          <w:sz w:val="24"/>
          <w:szCs w:val="24"/>
        </w:rP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rPr>
          <w:rFonts w:ascii="Times New Roman" w:hAnsi="Times New Roman" w:cs="Times New Roman"/>
          <w:sz w:val="24"/>
          <w:szCs w:val="24"/>
        </w:rP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