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p>
      <w:r>
        <w:br w:type="page"/>
      </w:r>
    </w:p>
    <w:p>
      <w:pPr>
        <w:jc w:val="center"/>
      </w:pPr>
      <w:r>
        <w:rPr>
          <w:b/>
        </w:rPr>
        <w:t>LAMPIRAN: PETA PELAPORAN TRIPOD+AI</w:t>
      </w:r>
    </w:p>
    <w:p>
      <w:r>
        <w:t>Peta ini menunjukkan lokasi pelaporan 17 domain utama.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vAlign w:val="center"/>
          </w:tcPr>
          <w:p>
            <w:r>
              <w:t>1. Judul dan jenis studi</w:t>
            </w:r>
          </w:p>
        </w:tc>
        <w:tc>
          <w:tcPr>
            <w:tcW w:type="dxa" w:w="4819"/>
            <w:vAlign w:val="center"/>
          </w:tcPr>
          <w:p>
            <w:r>
              <w:t>Judul/abstrak: model prediksi, luaran, populasi, dan validasi internal disebutkan.</w:t>
            </w:r>
          </w:p>
        </w:tc>
      </w:tr>
      <w:tr>
        <w:tc>
          <w:tcPr>
            <w:tcW w:type="dxa" w:w="4819"/>
            <w:vAlign w:val="center"/>
          </w:tcPr>
          <w:p>
            <w:r>
              <w:t>2. Ringkasan terstruktur</w:t>
            </w:r>
          </w:p>
        </w:tc>
        <w:tc>
          <w:tcPr>
            <w:tcW w:type="dxa" w:w="4819"/>
            <w:vAlign w:val="center"/>
          </w:tcPr>
          <w:p>
            <w:r>
              <w:t>Abstrak: desain, ukuran sampel, kejadian, prediktor, validasi, dan metrik utama.</w:t>
            </w:r>
          </w:p>
        </w:tc>
      </w:tr>
      <w:tr>
        <w:tc>
          <w:tcPr>
            <w:tcW w:type="dxa" w:w="4819"/>
            <w:vAlign w:val="center"/>
          </w:tcPr>
          <w:p>
            <w:r>
              <w:t>3. Latar belakang dan tujuan</w:t>
            </w:r>
          </w:p>
        </w:tc>
        <w:tc>
          <w:tcPr>
            <w:tcW w:type="dxa" w:w="4819"/>
            <w:vAlign w:val="center"/>
          </w:tcPr>
          <w:p>
            <w:r>
              <w:t>Bagian 1.1 sampai 1.3: konteks klinis, model pembanding, dan tujuan.</w:t>
            </w:r>
          </w:p>
        </w:tc>
      </w:tr>
      <w:tr>
        <w:tc>
          <w:tcPr>
            <w:tcW w:type="dxa" w:w="4819"/>
            <w:vAlign w:val="center"/>
          </w:tcPr>
          <w:p>
            <w:r>
              <w:t>4. Sumber data dan waktu</w:t>
            </w:r>
          </w:p>
        </w:tc>
        <w:tc>
          <w:tcPr>
            <w:tcW w:type="dxa" w:w="4819"/>
            <w:vAlign w:val="center"/>
          </w:tcPr>
          <w:p>
            <w:r>
              <w:t>Bagian 2.2 sampai 2.3: Makassar ACS Registry, pusat studi, dan periode 2024 sampai 2025.</w:t>
            </w:r>
          </w:p>
        </w:tc>
      </w:tr>
      <w:tr>
        <w:tc>
          <w:tcPr>
            <w:tcW w:type="dxa" w:w="4819"/>
            <w:vAlign w:val="center"/>
          </w:tcPr>
          <w:p>
            <w:r>
              <w:t>5. Partisipan</w:t>
            </w:r>
          </w:p>
        </w:tc>
        <w:tc>
          <w:tcPr>
            <w:tcW w:type="dxa" w:w="4819"/>
            <w:vAlign w:val="center"/>
          </w:tcPr>
          <w:p>
            <w:r>
              <w:t>Bagian 2.3 sampai 2.4: populasi, total sampling, inklusi, dan eksklusi.</w:t>
            </w:r>
          </w:p>
        </w:tc>
      </w:tr>
      <w:tr>
        <w:tc>
          <w:tcPr>
            <w:tcW w:type="dxa" w:w="4819"/>
            <w:vAlign w:val="center"/>
          </w:tcPr>
          <w:p>
            <w:r>
              <w:t>6. Luaran</w:t>
            </w:r>
          </w:p>
        </w:tc>
        <w:tc>
          <w:tcPr>
            <w:tcW w:type="dxa" w:w="4819"/>
            <w:vAlign w:val="center"/>
          </w:tcPr>
          <w:p>
            <w:r>
              <w:t>Bagian 2.6 dan Tabel 2.1: mortalitas in-hospital, sumber, waktu, dan pengodean.</w:t>
            </w:r>
          </w:p>
        </w:tc>
      </w:tr>
      <w:tr>
        <w:tc>
          <w:tcPr>
            <w:tcW w:type="dxa" w:w="4819"/>
            <w:vAlign w:val="center"/>
          </w:tcPr>
          <w:p>
            <w:r>
              <w:t>7. Prediktor</w:t>
            </w:r>
          </w:p>
        </w:tc>
        <w:tc>
          <w:tcPr>
            <w:tcW w:type="dxa" w:w="4819"/>
            <w:vAlign w:val="center"/>
          </w:tcPr>
          <w:p>
            <w:r>
              <w:t>Bagian 2.5 dan 2.7: definisi 13 prediktor, satuan, dan waktu pengukuran.</w:t>
            </w:r>
          </w:p>
        </w:tc>
      </w:tr>
      <w:tr>
        <w:tc>
          <w:tcPr>
            <w:tcW w:type="dxa" w:w="4819"/>
            <w:vAlign w:val="center"/>
          </w:tcPr>
          <w:p>
            <w:r>
              <w:t>8. Ukuran sampel</w:t>
            </w:r>
          </w:p>
        </w:tc>
        <w:tc>
          <w:tcPr>
            <w:tcW w:type="dxa" w:w="4819"/>
            <w:vAlign w:val="center"/>
          </w:tcPr>
          <w:p>
            <w:r>
              <w:t>Bagian 2.3 dan 4.10: N=1.524, 115 kejadian, dan keterbatasan event count.</w:t>
            </w:r>
          </w:p>
        </w:tc>
      </w:tr>
      <w:tr>
        <w:tc>
          <w:tcPr>
            <w:tcW w:type="dxa" w:w="4819"/>
            <w:vAlign w:val="center"/>
          </w:tcPr>
          <w:p>
            <w:r>
              <w:t>9. Data hilang</w:t>
            </w:r>
          </w:p>
        </w:tc>
        <w:tc>
          <w:tcPr>
            <w:tcW w:type="dxa" w:w="4819"/>
            <w:vAlign w:val="center"/>
          </w:tcPr>
          <w:p>
            <w:r>
              <w:t>Bagian 2.8 sampai 2.9: median per-fold dipelajari hanya dari training fold.</w:t>
            </w:r>
          </w:p>
        </w:tc>
      </w:tr>
      <w:tr>
        <w:tc>
          <w:tcPr>
            <w:tcW w:type="dxa" w:w="4819"/>
            <w:vAlign w:val="center"/>
          </w:tcPr>
          <w:p>
            <w:r>
              <w:t>10. Pengembangan model</w:t>
            </w:r>
          </w:p>
        </w:tc>
        <w:tc>
          <w:tcPr>
            <w:tcW w:type="dxa" w:w="4819"/>
            <w:vAlign w:val="center"/>
          </w:tcPr>
          <w:p>
            <w:r>
              <w:t>Bagian 2.9: algoritma, hiperparameter, serta prosedur fitting.</w:t>
            </w:r>
          </w:p>
        </w:tc>
      </w:tr>
      <w:tr>
        <w:tc>
          <w:tcPr>
            <w:tcW w:type="dxa" w:w="4819"/>
            <w:vAlign w:val="center"/>
          </w:tcPr>
          <w:p>
            <w:r>
              <w:t>11. Validasi internal</w:t>
            </w:r>
          </w:p>
        </w:tc>
        <w:tc>
          <w:tcPr>
            <w:tcW w:type="dxa" w:w="4819"/>
            <w:vAlign w:val="center"/>
          </w:tcPr>
          <w:p>
            <w:r>
              <w:t>Bagian 2.9: 10 seed kali 5-fold StratifiedKFold dan prediksi out-of-fold.</w:t>
            </w:r>
          </w:p>
        </w:tc>
      </w:tr>
      <w:tr>
        <w:tc>
          <w:tcPr>
            <w:tcW w:type="dxa" w:w="4819"/>
            <w:vAlign w:val="center"/>
          </w:tcPr>
          <w:p>
            <w:r>
              <w:t>12. Ukuran performa</w:t>
            </w:r>
          </w:p>
        </w:tc>
        <w:tc>
          <w:tcPr>
            <w:tcW w:type="dxa" w:w="4819"/>
            <w:vAlign w:val="center"/>
          </w:tcPr>
          <w:p>
            <w:r>
              <w:t>Bagian 2.9 dan 3.2: AUC, AUPRC, Brier score, sensitivitas, spesifisitas, PPV, dan NPV.</w:t>
            </w:r>
          </w:p>
        </w:tc>
      </w:tr>
      <w:tr>
        <w:tc>
          <w:tcPr>
            <w:tcW w:type="dxa" w:w="4819"/>
            <w:vAlign w:val="center"/>
          </w:tcPr>
          <w:p>
            <w:r>
              <w:t>13. Alur dan karakteristik partisipan</w:t>
            </w:r>
          </w:p>
        </w:tc>
        <w:tc>
          <w:tcPr>
            <w:tcW w:type="dxa" w:w="4819"/>
            <w:vAlign w:val="center"/>
          </w:tcPr>
          <w:p>
            <w:r>
              <w:t>Bagian 3.1, Gambar 3.1, serta Tabel 3.1 sampai 3.2.</w:t>
            </w:r>
          </w:p>
        </w:tc>
      </w:tr>
      <w:tr>
        <w:tc>
          <w:tcPr>
            <w:tcW w:type="dxa" w:w="4819"/>
            <w:vAlign w:val="center"/>
          </w:tcPr>
          <w:p>
            <w:r>
              <w:t>14. Spesifikasi model</w:t>
            </w:r>
          </w:p>
        </w:tc>
        <w:tc>
          <w:tcPr>
            <w:tcW w:type="dxa" w:w="4819"/>
            <w:vAlign w:val="center"/>
          </w:tcPr>
          <w:p>
            <w:r>
              <w:t>Bagian 2.9 dan berkas analisis: 13 fitur, preprocessing, hiperparameter, dan seed.</w:t>
            </w:r>
          </w:p>
        </w:tc>
      </w:tr>
      <w:tr>
        <w:tc>
          <w:tcPr>
            <w:tcW w:type="dxa" w:w="4819"/>
            <w:vAlign w:val="center"/>
          </w:tcPr>
          <w:p>
            <w:r>
              <w:t>15. Hasil performa dan ketidakpastian</w:t>
            </w:r>
          </w:p>
        </w:tc>
        <w:tc>
          <w:tcPr>
            <w:tcW w:type="dxa" w:w="4819"/>
            <w:vAlign w:val="center"/>
          </w:tcPr>
          <w:p>
            <w:r>
              <w:t>Bagian 3.2 sampai 3.7: rerata, simpangan baku, IK, rentang, ambang, dan pembanding GRACE.</w:t>
            </w:r>
          </w:p>
        </w:tc>
      </w:tr>
      <w:tr>
        <w:tc>
          <w:tcPr>
            <w:tcW w:type="dxa" w:w="4819"/>
            <w:vAlign w:val="center"/>
          </w:tcPr>
          <w:p>
            <w:r>
              <w:t>16. Keterbatasan dan interpretasi</w:t>
            </w:r>
          </w:p>
        </w:tc>
        <w:tc>
          <w:tcPr>
            <w:tcW w:type="dxa" w:w="4819"/>
            <w:vAlign w:val="center"/>
          </w:tcPr>
          <w:p>
            <w:r>
              <w:t>Bagian 4.9 sampai 4.10: single-center, retrospektif, bias seleksi, missingness, dan tanpa validasi eksternal.</w:t>
            </w:r>
          </w:p>
        </w:tc>
      </w:tr>
      <w:tr>
        <w:tc>
          <w:tcPr>
            <w:tcW w:type="dxa" w:w="4819"/>
            <w:vAlign w:val="center"/>
          </w:tcPr>
          <w:p>
            <w:r>
              <w:t>17. Ketersediaan dan rencana validasi</w:t>
            </w:r>
          </w:p>
        </w:tc>
        <w:tc>
          <w:tcPr>
            <w:tcW w:type="dxa" w:w="4819"/>
            <w:vAlign w:val="center"/>
          </w:tcPr>
          <w:p>
            <w:r>
              <w:t>Bagian 5.2 dan dokumentasi analisis: reproduksi lokal, pembatasan akses data pasien, validasi eksternal prospektif, dan studi implementasi.</w:t>
            </w:r>
          </w:p>
        </w:tc>
      </w:tr>
    </w:tbl>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safety 0,018455 menghasilkan sensitivitas 98,3%, spesifisitas 26,2%, dan dua false negative.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drawing>
          <wp:inline>
            <wp:extent cx="5040000" cy="6310617"/>
            <wp:docPr id="22" name="Picture 22"/>
            <wp:cNvGraphicFramePr>
              <a:graphicFrameLocks noChangeAspect="1"/>
            </wp:cNvGraphicFramePr>
            <a:graphic>
              <a:graphicData uri="http://schemas.openxmlformats.org/drawingml/2006/picture">
                <pic:pic>
                  <pic:nvPicPr>
                    <pic:cNvPr id="0" name="strobe_flowchart_v3.png"/>
                    <pic:cNvPicPr/>
                  </pic:nvPicPr>
                  <pic:blipFill>
                    <a:blip r:embed="rId32"/>
                    <a:stretch>
                      <a:fillRect/>
                    </a:stretch>
                  </pic:blipFill>
                  <pic:spPr>
                    <a:xfrm>
                      <a:off x="0" y="0"/>
                      <a:ext cx="5040000" cy="6310617"/>
                    </a:xfrm>
                    <a:prstGeom prst="rect"/>
                  </pic:spPr>
                </pic:pic>
              </a:graphicData>
            </a:graphic>
          </wp:inline>
        </w:drawing>
      </w:r>
    </w:p>
    <w:p>
      <w:r>
        <w:drawing>
          <wp:inline>
            <wp:extent cx="5040000" cy="6193986"/>
            <wp:docPr id="21" name="Picture 21"/>
            <wp:cNvGraphicFramePr>
              <a:graphicFrameLocks noChangeAspect="1"/>
            </wp:cNvGraphicFramePr>
            <a:graphic>
              <a:graphicData uri="http://schemas.openxmlformats.org/drawingml/2006/picture">
                <pic:pic>
                  <pic:nvPicPr>
                    <pic:cNvPr id="0" name="strobe_flowchart_v2.png"/>
                    <pic:cNvPicPr/>
                  </pic:nvPicPr>
                  <pic:blipFill>
                    <a:blip r:embed="rId31"/>
                    <a:stretch>
                      <a:fillRect/>
                    </a:stretch>
                  </pic:blipFill>
                  <pic:spPr>
                    <a:xfrm>
                      <a:off x="0" y="0"/>
                      <a:ext cx="5040000" cy="6193986"/>
                    </a:xfrm>
                    <a:prstGeom prst="rect"/>
                  </pic:spPr>
                </pic:pic>
              </a:graphicData>
            </a:graphic>
          </wp:inline>
        </w:drawing>
      </w:r>
    </w:p>
    <w:p>
      <w:r>
        <w:t xml:space="preserve">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 xml:space="preserve">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w:t>
      </w:r>
    </w:p>
    <w:p>
      <w:r>
        <w:t xml:space="preserve">Dari total 1.952 pasien yang tercatat dalam Makassar ACS Registry, sebanyak 379 pasien tidak termasuk dalam target populasi penelitian karena sudah berada dalam keadaan syok kardiogenik atau hipotensi bermakna saat admisi di IGD, sehingga tidak memenuhi kriteria inklusi sejak awal. Alasan lain yang mendasari ketidakikutsertaan ini meliputi data rekam medis yang belum memungkinkan ekstraksi parameter secara utuh, diagnosis di luar spektrum SKA (unstable angina pectoris, atau kondisi non-kardiovaskular lainnya), pasien yang pulang atas permintaan sendiri sebelum evaluasi menyeluruh, serta beberapa kasus pasca tindakan CABG yang tidak memenuhi definisi operasional SKA. Setelah proses ini, diperoleh 1.573 pasien dengan data terstruktur yang siap untuk dianalisis.</w:t>
      </w:r>
    </w:p>
    <w:p>
      <w:r>
        <w:t xml:space="preserve">Dari 1.573 pasien tersebut, 48 pasien tidak diikutsertakan dalam analisis lanjutan melalui mekanisme kendali mutu data. Sebanyak 15 pasien di antaranya berada dalam Killip IV, yaitu syok kardiogenik yang sudah manifes pada presentasi awal di IGD; kelompok ini sengaja dikeluarkan karena model prediksi dirancang untuk memprediksi risiko pada pasien yang belum berada dalam keadaan syok, bukan mendiagnosis kondisi yang sudah nyata. Pada pasien lainnya, data ekokardiografi awal (LVEF, TAPSE, LVOT VTI) atau parameter laboratorium tertentu tidak tercatat secara lengkap pada rekam medis, yang mencerminkan variasi praktik klinis dan dokumentasi di IGD dengan volume pasien tinggi. Lima belas pasien dalam kelompok ini meninggal selama perawatan. Setelah tahap kendali mutu ini, diperoleh 1.525 pasien yang memenuhi syarat untuk analisis lebih lanjut.</w:t>
      </w:r>
    </w:p>
    <w:p>
      <w:r>
        <w:t xml:space="preserve">Dari 1.525 pasien tersebut, satu pasien dengan Killip IV yang terlewat pada filter awal juga tidak diikutsertakan, sehingga kohort analisis akhir berjumlah 1.524 pasien dengan 115 kasus mortalitas in-hospital (7,5%). Karakteristik dasar populasi penelitian disajikan pada Tabel 3.1.</w:t>
      </w:r>
    </w:p>
    <w:p>
      <w:r>
        <w:t xml:space="preserve">Sebagai tambahan, perlu disebutkan bahwa dua orang petugas ekstraksi data (dr_TM dan dr_NP) berkontribusi dalam pemrosesan data untuk 11 pasien dalam registry ini. Pada data yang diproses oleh keduanya, tingkat kelengkapan parameter ekokardiografi lebih rendah (LVEF 36%, LVOT VTI 73%, TAPSE 36% tidak tercatat) dibandingkan rata-rata keseluruhan populasi. Temuan ini lebih mencerminkan tahap pembelajaran dalam konsistensi ekstraksi data dari rekam medis dibandingkan kualitas tatalaksana klinis pasien.</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drawing>
          <wp:inline>
            <wp:extent cx="5040000" cy="501270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501270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r>
        <w:br/>
      </w:r>
      <w:r>
        <w:drawing>
          <wp:inline>
            <wp:extent cx="5040000" cy="3369478"/>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3369478"/>
                    </a:xfrm>
                    <a:prstGeom prst="rect"/>
                  </pic:spPr>
                </pic:pic>
              </a:graphicData>
            </a:graphic>
          </wp:inline>
        </w:drawing>
      </w:r>
      <w:r>
        <w:br/>
      </w:r>
    </w:p>
    <w:p>
      <w:pPr>
        <w:spacing w:lineRule="auto" w:line="360"/>
        <w:jc w:val="both"/>
      </w:pPr>
      <w:r>
        <w:rPr>
          <w:rFonts w:ascii="Times New Roman" w:hAnsi="Times New Roman" w:cs="Times New Roman"/>
          <w:b/>
          <w:i w:val="0"/>
          <w:sz w:val="24"/>
          <w:szCs w:val="24"/>
        </w:rPr>
        <w:t>3.2.2 Pemilihan Ambang Batas Optimal</w:t>
      </w:r>
    </w:p>
    <w:p>
      <w:r>
        <w:br/>
      </w:r>
      <w:r>
        <w:drawing>
          <wp:inline>
            <wp:extent cx="5040000" cy="3902303"/>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3902303"/>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safety 0,018455 dipilih untuk membatasi false negative pada prediksi out-of-fold rerata. Pada ambang ini, sensitivitas adalah 98,3% (FN=2), spesifisitas 26,2%, PPV 9,8%, dan NPV 99,5%. Ambang Youden 0,103981 menghasilkan sensitivitas 71,3%, spesifisitas 82,0%, PPV 24,4%, dan NPV 97,2%.</w:t>
      </w:r>
    </w:p>
    <w:p>
      <w:r>
        <w:br/>
      </w:r>
      <w:r>
        <w:drawing>
          <wp:inline>
            <wp:extent cx="5040000" cy="40391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40000" cy="4039113"/>
                    </a:xfrm>
                    <a:prstGeom prst="rect"/>
                  </pic:spPr>
                </pic:pic>
              </a:graphicData>
            </a:graphic>
          </wp:inline>
        </w:drawing>
      </w:r>
      <w:r>
        <w:br/>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r>
        <w:br/>
      </w:r>
      <w:r>
        <w:drawing>
          <wp:inline>
            <wp:extent cx="5040000" cy="4312202"/>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4312202"/>
                    </a:xfrm>
                    <a:prstGeom prst="rect"/>
                  </pic:spPr>
                </pic:pic>
              </a:graphicData>
            </a:graphic>
          </wp:inline>
        </w:drawing>
      </w:r>
      <w:r>
        <w:br/>
      </w:r>
    </w:p>
    <w:p>
      <w:pPr>
        <w:spacing w:lineRule="auto" w:line="360"/>
        <w:jc w:val="both"/>
      </w:pPr>
      <w:r>
        <w:rPr>
          <w:rFonts w:ascii="Times New Roman" w:hAnsi="Times New Roman" w:cs="Times New Roman"/>
          <w:b/>
          <w:i w:val="0"/>
          <w:sz w:val="24"/>
          <w:szCs w:val="24"/>
        </w:rPr>
        <w:t>3.2.3 Analisis Matriks Konfusi</w:t>
      </w:r>
    </w:p>
    <w:p>
      <w:r>
        <w:br/>
      </w:r>
      <w:r>
        <w:drawing>
          <wp:inline>
            <wp:extent cx="5040000" cy="4336916"/>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040000" cy="4336916"/>
                    </a:xfrm>
                    <a:prstGeom prst="rect"/>
                  </pic:spPr>
                </pic:pic>
              </a:graphicData>
            </a:graphic>
          </wp:inline>
        </w:drawing>
      </w:r>
      <w:r>
        <w:br/>
      </w:r>
    </w:p>
    <w:p>
      <w:pPr>
        <w:spacing w:lineRule="auto" w:line="360"/>
        <w:ind w:firstLine="720"/>
        <w:jc w:val="both"/>
      </w:pPr>
      <w:r>
        <w:t>Matriks konfusi ambang safety disusun dari prediksi out-of-fold rerata seluruh 1.524 pasien. Model mengidentifikasi 113 dari 115 kematian (sensitivitas 98,3%) dan 369 dari 1.409 pasien hidup (spesifisitas 26,2%). Terdapat 2 false negative dan 1.040 false positive; total pasien yang terflag adalah 1.153. Hasil ini menggambarkan trade-off internal dan bukan jaminan keamanan klinis.</w:t>
      </w:r>
    </w:p>
    <w:p>
      <w:r>
        <w:br/>
      </w:r>
      <w:r>
        <w:drawing>
          <wp:inline>
            <wp:extent cx="5040000" cy="3678152"/>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678152"/>
                    </a:xfrm>
                    <a:prstGeom prst="rect"/>
                  </pic:spPr>
                </pic:pic>
              </a:graphicData>
            </a:graphic>
          </wp:inline>
        </w:drawing>
      </w:r>
      <w:r>
        <w:br/>
      </w:r>
    </w:p>
    <w:p>
      <w:pPr>
        <w:spacing w:lineRule="auto" w:line="360" w:before="60" w:after="120"/>
        <w:jc w:val="center"/>
      </w:pPr>
      <w:r>
        <w:t>Gambar 3.3 Matriks Konfusi Model Random Forest pada Ambang Batas Safety 0,018455</w:t>
      </w:r>
    </w:p>
    <w:p>
      <w:r>
        <w:br/>
      </w:r>
      <w:r>
        <w:drawing>
          <wp:inline>
            <wp:extent cx="5040000" cy="5040000"/>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040000" cy="5040000"/>
                    </a:xfrm>
                    <a:prstGeom prst="rect"/>
                  </pic:spPr>
                </pic:pic>
              </a:graphicData>
            </a:graphic>
          </wp:inline>
        </w:drawing>
      </w:r>
      <w:r>
        <w:br/>
      </w:r>
    </w:p>
    <w:p>
      <w:pPr>
        <w:spacing w:lineRule="auto" w:line="360"/>
        <w:jc w:val="both"/>
      </w:pPr>
      <w:r>
        <w:rPr>
          <w:rFonts w:ascii="Times New Roman" w:hAnsi="Times New Roman" w:cs="Times New Roman"/>
          <w:b/>
          <w:i w:val="0"/>
          <w:sz w:val="24"/>
          <w:szCs w:val="24"/>
        </w:rPr>
        <w:t>3.2.4 Analisis Kalibrasi</w:t>
      </w:r>
    </w:p>
    <w:p>
      <w:r>
        <w:br/>
      </w:r>
      <w:r>
        <w:drawing>
          <wp:inline>
            <wp:extent cx="5040000" cy="441174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4411745"/>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r>
        <w:br/>
      </w:r>
      <w:r>
        <w:drawing>
          <wp:inline>
            <wp:extent cx="5040000" cy="5040000"/>
            <wp:docPr id="5" name="Picture 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5040000"/>
                    </a:xfrm>
                    <a:prstGeom prst="rect"/>
                  </pic:spPr>
                </pic:pic>
              </a:graphicData>
            </a:graphic>
          </wp:inline>
        </w:drawing>
      </w:r>
      <w:r>
        <w:br/>
      </w:r>
    </w:p>
    <w:p>
      <w:r>
        <w:br/>
      </w:r>
      <w:r>
        <w:drawing>
          <wp:inline>
            <wp:extent cx="5040000" cy="3393409"/>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3393409"/>
                    </a:xfrm>
                    <a:prstGeom prst="rect"/>
                  </pic:spPr>
                </pic:pic>
              </a:graphicData>
            </a:graphic>
          </wp:inline>
        </w:drawing>
      </w:r>
      <w:r>
        <w:br/>
      </w:r>
    </w:p>
    <w:p>
      <w:pPr>
        <w:spacing w:lineRule="auto" w:line="360"/>
        <w:ind w:firstLine="720"/>
        <w:jc w:val="both"/>
      </w:pPr>
      <w: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r>
        <w:br/>
      </w:r>
      <w:r>
        <w:drawing>
          <wp:inline>
            <wp:extent cx="5040000" cy="2929442"/>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929442"/>
                    </a:xfrm>
                    <a:prstGeom prst="rect"/>
                  </pic:spPr>
                </pic:pic>
              </a:graphicData>
            </a:graphic>
          </wp:inline>
        </w:drawing>
      </w:r>
      <w:r>
        <w:br/>
      </w:r>
    </w:p>
    <w:p>
      <w:r>
        <w:br/>
      </w:r>
      <w:r>
        <w:drawing>
          <wp:inline>
            <wp:extent cx="5040000" cy="5040000"/>
            <wp:docPr id="6" name="Picture 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5040000"/>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(class imbalance) pada dataset (hanya 7,5% mortalitas), Precision-Recall Curve (PRC) memberikan evaluasi yang lebih informatif dibandingkan ROC. Area Under Precision-Recall Curve (AUPRC) model adalah 0,301, yang menunjukkan performa yang baik dalam mengidentifikasi kelas minoritas (mortalitas).</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r>
        <w:br/>
      </w:r>
      <w:r>
        <w:drawing>
          <wp:inline>
            <wp:extent cx="5040000" cy="3329561"/>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3329561"/>
                    </a:xfrm>
                    <a:prstGeom prst="rect"/>
                  </pic:spPr>
                </pic:pic>
              </a:graphicData>
            </a:graphic>
          </wp:inline>
        </w:drawing>
      </w:r>
      <w:r>
        <w:br/>
      </w:r>
    </w:p>
    <w:p>
      <w:pPr>
        <w:spacing w:lineRule="auto" w:line="360"/>
        <w:jc w:val="both"/>
      </w:pPr>
      <w:r>
        <w:rPr>
          <w:rFonts w:ascii="Times New Roman" w:hAnsi="Times New Roman" w:cs="Times New Roman"/>
          <w:b/>
          <w:i w:val="0"/>
          <w:sz w:val="24"/>
          <w:szCs w:val="24"/>
        </w:rPr>
        <w:t>3.2.7 Distribusi Probabilitas Prediksi</w:t>
      </w:r>
    </w:p>
    <w:p>
      <w:r>
        <w:br/>
      </w:r>
      <w:r>
        <w:drawing>
          <wp:inline>
            <wp:extent cx="5040000" cy="3394759"/>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040000" cy="3394759"/>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r>
        <w:br/>
      </w:r>
      <w:r>
        <w:drawing>
          <wp:inline>
            <wp:extent cx="5040000" cy="218123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181239"/>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drawing>
          <wp:inline>
            <wp:extent cx="5040000" cy="3626030"/>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3626030"/>
                    </a:xfrm>
                    <a:prstGeom prst="rect"/>
                  </pic:spPr>
                </pic:pic>
              </a:graphicData>
            </a:graphic>
          </wp:inline>
        </w:drawing>
      </w:r>
      <w:r>
        <w:br/>
      </w:r>
    </w:p>
    <w:p>
      <w:r>
        <w:br/>
      </w:r>
      <w:r>
        <w:drawing>
          <wp:inline>
            <wp:extent cx="5040000" cy="5184387"/>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5184387"/>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r>
        <w:br/>
      </w:r>
      <w:r>
        <w:drawing>
          <wp:inline>
            <wp:extent cx="5040000" cy="2068941"/>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2068941"/>
                    </a:xfrm>
                    <a:prstGeom prst="rect"/>
                  </pic:spPr>
                </pic:pic>
              </a:graphicData>
            </a:graphic>
          </wp:inline>
        </w:drawing>
      </w:r>
      <w:r>
        <w:br/>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Berdasarkan probabilitas prediksi dari model Random Forest, dikembangkan sistem triase bertingkat tiga tingkat untuk stratifikasi risiko pasien di IGD: tingkat pertama (risiko rendah) dengan probabilitas &lt;0,018455 direkomendasikan untuk rawat inap lantai dasar (ward), tingkat kedua (risiko sedang) dengan probabilitas 0,018455 sampai 0,103981 direkomendasikan untuk perawatan High Care Unit (HCU), dan tingkat ketiga (risiko tinggi) dengan probabilitas ≥0,103981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(threshold safety)</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false negative.</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dataset yang sedang, 1.524 pasien dengan 115 kematian, mendukung pemilihan model yang relatif parsimonious. Random Forest menangkap interaksi tanpa transformasi eksplisit dan memberikan performa internal yang lebih baik daripada pembanding XGBoost. Namun, pemilihan algoritma tetap dapat dipengaruhi oleh ruang hiperparameter dan prosedur tuning; tanpa nested cross-validation,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feature importance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false negative.</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sampai  Cardiovascular Imaging*, 16(3), pp.233-271. https://doi.org/10.1093/ehjci/jev014.</w:t>
      </w:r>
    </w:p>
    <w:p>
      <w:pPr>
        <w:spacing w:after="60" w:line="360" w:lineRule="auto"/>
        <w:ind w:firstLine="709"/>
        <w:jc w:val="both"/>
      </w:pPr>
      <w: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