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 xml:space="preserve">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koding diagnosis; tindakan CABG dalam episode perawatan yang sama; pulang atas permintaan sendiri; dan ketidaklengkapan data. Kasus Killip IV yang terlewat pada skrining awal dikroscek kembali; apabila terkonfirmasi telah mengalami syok saat admisi, kasus tersebut digabungkan ke kategori syok/hipotensi saat admisi. Setelah penyaringan awal, tersedia 1.573 pasien dengan data terstruktur.</w:t>
      </w:r>
    </w:p>
    <w:p>
      <w:r>
        <w:t xml:space="preserve">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 xml:space="preserve">Pada pemeriksaan akhir, satu rekam yang terlewat pada penyaringan sebelumnya dikroscek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 xml:space="preserve">Sebagian pasien yang diterima di IGD berada di bawah tanggung jawab dr_TM dan dr_NP sebagai dokter penanggung jawab pelayanan (DPJP). Terdapat variasi praktik klinis di IGD, di mana tidak semua DPJP secara rutin melakukan POCUS ekokardiografi bedside pada saat admisi, dan kelengkapan dokumentasi SOAP bervariasi antar klinisi. Pada pasien yang ditangani oleh kedua DPJP tersebut, ekokardiografi bedside saat admisi tidak dilakukan dan dokumentasi SOAP IGD relatif lebih ringkas, sehingga parameter ekokardiografi yang diperlukan tidak tersedia dalam RME dan pasien dieksklusi sejak tahap penyaringan awal.</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