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 xml:space="preserve">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model Random Forest untuk mortalitas in-hospital pada pasien STEMI dan NSTEMI. Metode: Kohort retrospektif mencakup 1.524 pasien Killip I sampai III dengan 115 kematian. Tiga belas prediktor dianalisis menggunakan validasi silang lima lipat yang diulang pada sepuluh seed. Imputasi median dilakukan hanya pada data pelatihan setiap lipatan. Hasil: AUC vektor out-of-fold rerata adalah 0,819 (dibulatkan menjadi 0,818 pada ringkasan tesis). Rerata AUC antar seed adalah 0,816 ± 0,008, IK 95% 0,811 sampai 0,820, dengan rentang 0,802 sampai 0,825. Brier score adalah 0,061 dan AUPRC 0,301. Ambang safety 0,018 menghasilkan sensitivitas 98,3% dan spesifisitas 26,2%. AUC GRACE 2.0 adalah 0,777. Kesimpulan: Model memiliki diskriminasi yang baik, tetapi ambang klinis memerlukan validasi eksternal sebelum penerapan.</w:t>
      </w:r>
    </w:p>
    <w:p>
      <w:pPr>
        <w:spacing w:after="60" w:line="360" w:lineRule="auto"/>
        <w:ind w:firstLine="709"/>
        <w:jc w:val="both"/>
      </w:pPr>
      <w:r>
        <w:rPr>
          <w:rFonts w:ascii="Times New Roman" w:hAnsi="Times New Roman" w:cs="Times New Roman"/>
          <w:sz w:val="24"/>
          <w:szCs w:val="24"/>
          <w:b/>
        </w:rPr>
        <w:t xml:space="preserve">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 xml:space="preserve">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required in acute coronary syndrome. Objective: To develop and internally validate a Random Forest model for in-hospital mortality. Methods: This retrospective cohort included 1,524 Killip I to III patients and 115 deaths. Thirteen predictors were evaluated with five-fold cross-validation repeated over ten fixed seeds, with median imputation fitted within each training fold. Results: The mean out-of-fold prediction vector had an AUC of 0.819, reported as 0.818 in the thesis headline. Mean seed AUC was 0.816 ± 0.008 (95% CI 0.811 to 0.820; range 0.802 to 0.825). The Brier score was 0.061, AUPRC was 0.301, and GRACE 2.0 AUC was 0.777. Conclusion: The model showed good discrimination, while clinical thresholds require external validation.</w:t>
      </w:r>
    </w:p>
    <w:p>
      <w:pPr>
        <w:spacing w:after="60" w:line="360" w:lineRule="auto"/>
        <w:ind w:firstLine="709"/>
        <w:jc w:val="both"/>
      </w:pPr>
      <w:r>
        <w:rPr>
          <w:rFonts w:ascii="Times New Roman" w:hAnsi="Times New Roman" w:cs="Times New Roman"/>
          <w:sz w:val="24"/>
          <w:szCs w:val="24"/>
          <w:b/>
        </w:rPr>
        <w:t xml:space="preserve">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 xml:space="preserve">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Pemilihan Random Forest dalam penelitian ini didasarkan pada beberapa pertimbangan. Pertama, kemampuannya menangkap interaksi non-linear kompleks antar variabel tanpa memerlukan asumsi distribusi tertentu. Kedua, Random Forest memberikan informasi feature importance (Gini importance) yang intuitif untuk interpretasi klinis. Ketiga, algoritma ini relatif robust terhadap overfitting dan data hilang. Sebagai perbandingan, algoritma XGBoost juga digunakan untuk mengevaluasi apakah performanya dapat melampaui Random Forest pada dataset yang sama.cara internal melalui algoritma sparsity-aware, yang mengurangi kebutuhan imputasi dan potensi bias. Ketiga, regularisasi L1 dan L2 terintegrasi untuk mencegah overfitting dan meningkatkan generalisabilitas. Keempat, penyediaan metrik feature importance yang memungkinkan interpretasi model serta identifikasi variabel yang paling berkontribusi dalam prediksi (Chen dan Guestrin, 2016).</w:t>
      </w:r>
    </w:p>
    <w:p>
      <w:pPr>
        <w:spacing w:after="60" w:line="360" w:lineRule="auto"/>
        <w:ind w:firstLine="709"/>
        <w:jc w:val="both"/>
      </w:pPr>
      <w:r>
        <w:rPr>
          <w:rFonts w:ascii="Times New Roman" w:hAnsi="Times New Roman" w:cs="Times New Roman"/>
          <w:sz w:val="24"/>
          <w:szCs w:val="24"/>
        </w:rPr>
        <w:t>Pusat Jantung Terpadu RSUP Dr. Wahidin Sudirohusodo sebagai pusat rujukan jantung utama di Indonesia Timur menangani volume kasus SKA yang tinggi dengan spektrum keparahan yang luas. Namun hingga saat ini belum ada model prediksi mortalitas in-hospital yang dikembangkan dan divalidasi secara spesifik untuk populasi di pusat layanan ini. Pengembangan model prediksi yang akurat dan aplikatif di IGD, dengan memanfaatkan data yang tersedia secara rutin, merupakan langkah strategis untuk meningkatkan kualitas tatalaksana dan luaran pasien SKA. Oleh karena itu, penelitian ini bertujuan mengembangkan dan mengevaluasi model prediksi berbasis algoritma XGBoost untuk kejadian syok kardiogenik pada pasien STEMI dan NSTEMI.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memvalidasi model prediksi dini kejadian syok kardiogenik pada pasien dengan diagnosis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417"/>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3118"/>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Definisi</w:t>
            </w:r>
          </w:p>
        </w:tc>
        <w:tc>
          <w:tcPr>
            <w:tcW w:type="dxa" w:w="850"/>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Skala</w:t>
            </w:r>
          </w:p>
        </w:tc>
        <w:tc>
          <w:tcPr>
            <w:tcW w:type="dxa" w:w="3969"/>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Syok Kardiogenik (SKG) in-hospital</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Sindrom hipoperfusi jaringan akibat disfungsi pompa jantung primer yang terjadi selama rawatan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SBP &lt;90 mmHg &gt;30 menit atau butuh vasopresor/inotropik UNTUK mempertahankan SBP ≥90 mmHg, DISERTAI ≥1 bukti hipoperfusi (perubahan status mental, akral dingin, oliguri &lt;0,5 mL/kg/jam, laktat &gt;2 mmol/L). Tidak=0 jika tidak memenuhi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terikat (luaran)</w:t>
      </w:r>
      <w:r>
        <w:rPr>
          <w:rFonts w:ascii="Times New Roman" w:hAnsi="Times New Roman" w:cs="Times New Roman"/>
          <w:sz w:val="24"/>
          <w:szCs w:val="24"/>
        </w:rPr>
        <w:t xml:space="preserve"> adalah apakah pasien mengalami syok kardiogenik selama dirawat atau tidak. Syok kardiogenik ditegakkan kalau pasien punya tekanan darah rendah yang butuh obat penguat tekanan darah, plus ada tanda-tanda aliran darah ke organ kurang (misalnya bingung, kencing sedikit, atau kadar laktat tinggi).</w:t>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prediksi utama adalah Random Forest (RF) yang terdiri dari 500 pohon keputusan (n_estimators=500), kedalaman maksimum 6 level (max_depth=6), dan minimal sampel per daun sebanyak 5 sampel (min_samples_leaf=5). Hiperparameter ini dipilih berdasarkan optimasi melalui grid search dengan validasi silang 5-lipat untuk menyeimbangkan bias dan varians. Sebagai model pembanding, dikembangkan pula regresi logistik multivariat di mana variabel dengan nilai p di bawah 0,25 pada analisis bivariat dipertimbangkan sebagai kandidat untuk dimasukkan ke dalam model dengan seleksi variabel akhir menggunakan backward stepwise elimination. Selain itu, model XGBoost juga dikembangkan sebagai pembanding algoritma boosting untuk menunjukkan konsistensi temuan.</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Variabel</w:t>
            </w:r>
          </w:p>
        </w:tc>
        <w:tc>
          <w:tcPr>
            <w:tcW w:type="dxa" w:w="2409"/>
          </w:tcPr>
          <w:p>
            <w:r>
              <w:t>Hidup (n=1.409)</w:t>
            </w:r>
          </w:p>
        </w:tc>
        <w:tc>
          <w:tcPr>
            <w:tcW w:type="dxa" w:w="2409"/>
          </w:tcPr>
          <w:p>
            <w:r>
              <w:t>Meninggal (n=115)</w:t>
            </w:r>
          </w:p>
        </w:tc>
        <w:tc>
          <w:tcPr>
            <w:tcW w:type="dxa" w:w="2409"/>
          </w:tcPr>
          <w:p>
            <w:r>
              <w:t>Nilai p</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Jenis kelamin laki-laki — n (%)</w:t>
            </w:r>
          </w:p>
        </w:tc>
        <w:tc>
          <w:tcPr>
            <w:tcW w:type="dxa" w:w="2409"/>
          </w:tcPr>
          <w:p>
            <w:r>
              <w:t>1145 (81,3)</w:t>
            </w:r>
          </w:p>
        </w:tc>
        <w:tc>
          <w:tcPr>
            <w:tcW w:type="dxa" w:w="2409"/>
          </w:tcPr>
          <w:p>
            <w:r>
              <w:t>83 (72,2)</w:t>
            </w:r>
          </w:p>
        </w:tc>
        <w:tc>
          <w:tcPr>
            <w:tcW w:type="dxa" w:w="2409"/>
          </w:tcPr>
          <w:p>
            <w:r>
              <w:t>0,0247</w:t>
            </w:r>
          </w:p>
        </w:tc>
      </w:tr>
      <w:tr>
        <w:tc>
          <w:tcPr>
            <w:tcW w:type="dxa" w:w="2409"/>
          </w:tcPr>
          <w:p>
            <w:r>
              <w:t>Diagnosis STEMI — n (%)</w:t>
            </w:r>
          </w:p>
        </w:tc>
        <w:tc>
          <w:tcPr>
            <w:tcW w:type="dxa" w:w="2409"/>
          </w:tcPr>
          <w:p>
            <w:r>
              <w:t>975 (69,2)</w:t>
            </w:r>
          </w:p>
        </w:tc>
        <w:tc>
          <w:tcPr>
            <w:tcW w:type="dxa" w:w="2409"/>
          </w:tcPr>
          <w:p>
            <w:r>
              <w:t>72 (62,6)</w:t>
            </w:r>
          </w:p>
        </w:tc>
        <w:tc>
          <w:tcPr>
            <w:tcW w:type="dxa" w:w="2409"/>
          </w:tcPr>
          <w:p>
            <w:r>
              <w:t>0,1736</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Tekanan Darah Diastolik (mmHg)</w:t>
            </w:r>
          </w:p>
        </w:tc>
        <w:tc>
          <w:tcPr>
            <w:tcW w:type="dxa" w:w="2409"/>
          </w:tcPr>
          <w:p>
            <w:r>
              <w:t>83,0 ± 16,0</w:t>
            </w:r>
          </w:p>
        </w:tc>
        <w:tc>
          <w:tcPr>
            <w:tcW w:type="dxa" w:w="2409"/>
          </w:tcPr>
          <w:p>
            <w:r>
              <w:t>80,1 ± 16,8</w:t>
            </w:r>
          </w:p>
        </w:tc>
        <w:tc>
          <w:tcPr>
            <w:tcW w:type="dxa" w:w="2409"/>
          </w:tcPr>
          <w:p>
            <w:r>
              <w:t>0,0788</w:t>
            </w:r>
          </w:p>
        </w:tc>
      </w:tr>
      <w:tr>
        <w:tc>
          <w:tcPr>
            <w:tcW w:type="dxa" w:w="2409"/>
          </w:tcPr>
          <w:p>
            <w:r>
              <w:t>MAP (mmHg)</w:t>
            </w:r>
          </w:p>
        </w:tc>
        <w:tc>
          <w:tcPr>
            <w:tcW w:type="dxa" w:w="2409"/>
          </w:tcPr>
          <w:p>
            <w:r>
              <w:t>99,3 ± 17,6</w:t>
            </w:r>
          </w:p>
        </w:tc>
        <w:tc>
          <w:tcPr>
            <w:tcW w:type="dxa" w:w="2409"/>
          </w:tcPr>
          <w:p>
            <w:r>
              <w:t>95,9 ± 19,4</w:t>
            </w:r>
          </w:p>
        </w:tc>
        <w:tc>
          <w:tcPr>
            <w:tcW w:type="dxa" w:w="2409"/>
          </w:tcPr>
          <w:p>
            <w:r>
              <w:t>0,0673</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SpO2 (%)</w:t>
            </w:r>
          </w:p>
        </w:tc>
        <w:tc>
          <w:tcPr>
            <w:tcW w:type="dxa" w:w="2409"/>
          </w:tcPr>
          <w:p>
            <w:r>
              <w:t>97,2 ± 2,9</w:t>
            </w:r>
          </w:p>
        </w:tc>
        <w:tc>
          <w:tcPr>
            <w:tcW w:type="dxa" w:w="2409"/>
          </w:tcPr>
          <w:p>
            <w:r>
              <w:t>96,0 ± 4,8</w:t>
            </w:r>
          </w:p>
        </w:tc>
        <w:tc>
          <w:tcPr>
            <w:tcW w:type="dxa" w:w="2409"/>
          </w:tcPr>
          <w:p>
            <w:r>
              <w:t>0,0061</w:t>
            </w:r>
          </w:p>
        </w:tc>
      </w:tr>
      <w:tr>
        <w:tc>
          <w:tcPr>
            <w:tcW w:type="dxa" w:w="2409"/>
          </w:tcPr>
          <w:p>
            <w:r>
              <w:t>Suhu (°C)</w:t>
            </w:r>
          </w:p>
        </w:tc>
        <w:tc>
          <w:tcPr>
            <w:tcW w:type="dxa" w:w="2409"/>
          </w:tcPr>
          <w:p>
            <w:r>
              <w:t>36,5 ± 0,6</w:t>
            </w:r>
          </w:p>
        </w:tc>
        <w:tc>
          <w:tcPr>
            <w:tcW w:type="dxa" w:w="2409"/>
          </w:tcPr>
          <w:p>
            <w:r>
              <w:t>36,6 ± 0,3</w:t>
            </w:r>
          </w:p>
        </w:tc>
        <w:tc>
          <w:tcPr>
            <w:tcW w:type="dxa" w:w="2409"/>
          </w:tcPr>
          <w:p>
            <w:r>
              <w:t>0,1407</w:t>
            </w:r>
          </w:p>
        </w:tc>
      </w:tr>
      <w:tr>
        <w:tc>
          <w:tcPr>
            <w:tcW w:type="dxa" w:w="2409"/>
          </w:tcPr>
          <w:p>
            <w:r>
              <w:t>Kebutuhan Oksigen &gt;5 LPM — n (%)</w:t>
            </w:r>
          </w:p>
        </w:tc>
        <w:tc>
          <w:tcPr>
            <w:tcW w:type="dxa" w:w="2409"/>
          </w:tcPr>
          <w:p>
            <w:r>
              <w:t>110 (7,8)</w:t>
            </w:r>
          </w:p>
        </w:tc>
        <w:tc>
          <w:tcPr>
            <w:tcW w:type="dxa" w:w="2409"/>
          </w:tcPr>
          <w:p>
            <w:r>
              <w:t>30 (26,1)</w:t>
            </w:r>
          </w:p>
        </w:tc>
        <w:tc>
          <w:tcPr>
            <w:tcW w:type="dxa" w:w="2409"/>
          </w:tcPr>
          <w:p>
            <w:r>
              <w:t>&lt;0,0001</w:t>
            </w:r>
          </w:p>
        </w:tc>
      </w:tr>
      <w:tr>
        <w:tc>
          <w:tcPr>
            <w:tcW w:type="dxa" w:w="2409"/>
          </w:tcPr>
          <w:p>
            <w:r>
              <w:t>Killip I — n (%)</w:t>
            </w:r>
          </w:p>
        </w:tc>
        <w:tc>
          <w:tcPr>
            <w:tcW w:type="dxa" w:w="2409"/>
          </w:tcPr>
          <w:p>
            <w:r>
              <w:t>927 (65,8)</w:t>
            </w:r>
          </w:p>
        </w:tc>
        <w:tc>
          <w:tcPr>
            <w:tcW w:type="dxa" w:w="2409"/>
          </w:tcPr>
          <w:p>
            <w:r>
              <w:t>41 (35,7)</w:t>
            </w:r>
          </w:p>
        </w:tc>
        <w:tc>
          <w:tcPr>
            <w:tcW w:type="dxa" w:w="2409"/>
          </w:tcPr>
          <w:p>
            <w:r/>
          </w:p>
        </w:tc>
      </w:tr>
      <w:tr>
        <w:tc>
          <w:tcPr>
            <w:tcW w:type="dxa" w:w="2409"/>
          </w:tcPr>
          <w:p>
            <w:r>
              <w:t>Killip II — n (%)</w:t>
            </w:r>
          </w:p>
        </w:tc>
        <w:tc>
          <w:tcPr>
            <w:tcW w:type="dxa" w:w="2409"/>
          </w:tcPr>
          <w:p>
            <w:r>
              <w:t>374 (26,5)</w:t>
            </w:r>
          </w:p>
        </w:tc>
        <w:tc>
          <w:tcPr>
            <w:tcW w:type="dxa" w:w="2409"/>
          </w:tcPr>
          <w:p>
            <w:r>
              <w:t>37 (32,2)</w:t>
            </w:r>
          </w:p>
        </w:tc>
        <w:tc>
          <w:tcPr>
            <w:tcW w:type="dxa" w:w="2409"/>
          </w:tcPr>
          <w:p>
            <w:r/>
          </w:p>
        </w:tc>
      </w:tr>
      <w:tr>
        <w:tc>
          <w:tcPr>
            <w:tcW w:type="dxa" w:w="2409"/>
          </w:tcPr>
          <w:p>
            <w:r>
              <w:t>Killip III — n (%)</w:t>
            </w:r>
          </w:p>
        </w:tc>
        <w:tc>
          <w:tcPr>
            <w:tcW w:type="dxa" w:w="2409"/>
          </w:tcPr>
          <w:p>
            <w:r>
              <w:t>108 (7,7)</w:t>
            </w:r>
          </w:p>
        </w:tc>
        <w:tc>
          <w:tcPr>
            <w:tcW w:type="dxa" w:w="2409"/>
          </w:tcPr>
          <w:p>
            <w:r>
              <w:t>37 (32,2)</w:t>
            </w:r>
          </w:p>
        </w:tc>
        <w:tc>
          <w:tcPr>
            <w:tcW w:type="dxa" w:w="2409"/>
          </w:tcPr>
          <w:p>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Riwayat PCI — n (%)</w:t>
            </w:r>
          </w:p>
        </w:tc>
        <w:tc>
          <w:tcPr>
            <w:tcW w:type="dxa" w:w="2409"/>
          </w:tcPr>
          <w:p>
            <w:r>
              <w:t>69 (4,9)</w:t>
            </w:r>
          </w:p>
        </w:tc>
        <w:tc>
          <w:tcPr>
            <w:tcW w:type="dxa" w:w="2409"/>
          </w:tcPr>
          <w:p>
            <w:r>
              <w:t>7 (6,1)</w:t>
            </w:r>
          </w:p>
        </w:tc>
        <w:tc>
          <w:tcPr>
            <w:tcW w:type="dxa" w:w="2409"/>
          </w:tcPr>
          <w:p>
            <w:r>
              <w:t>0,7332</w:t>
            </w:r>
          </w:p>
        </w:tc>
      </w:tr>
      <w:tr>
        <w:tc>
          <w:tcPr>
            <w:tcW w:type="dxa" w:w="2409"/>
          </w:tcPr>
          <w:p>
            <w:r>
              <w:t>Riwayat CABG — n (%)</w:t>
            </w:r>
          </w:p>
        </w:tc>
        <w:tc>
          <w:tcPr>
            <w:tcW w:type="dxa" w:w="2409"/>
          </w:tcPr>
          <w:p>
            <w:r>
              <w:t>6 (0,4)</w:t>
            </w:r>
          </w:p>
        </w:tc>
        <w:tc>
          <w:tcPr>
            <w:tcW w:type="dxa" w:w="2409"/>
          </w:tcPr>
          <w:p>
            <w:r>
              <w:t>0 (0,0)</w:t>
            </w:r>
          </w:p>
        </w:tc>
        <w:tc>
          <w:tcPr>
            <w:tcW w:type="dxa" w:w="2409"/>
          </w:tcPr>
          <w:p>
            <w:r>
              <w:t>1,0000</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Hematokrit (%)</w:t>
            </w:r>
          </w:p>
        </w:tc>
        <w:tc>
          <w:tcPr>
            <w:tcW w:type="dxa" w:w="2409"/>
          </w:tcPr>
          <w:p>
            <w:r>
              <w:t>38,6 ± 13,9</w:t>
            </w:r>
          </w:p>
        </w:tc>
        <w:tc>
          <w:tcPr>
            <w:tcW w:type="dxa" w:w="2409"/>
          </w:tcPr>
          <w:p>
            <w:r>
              <w:t>35,4 ± 9,2</w:t>
            </w:r>
          </w:p>
        </w:tc>
        <w:tc>
          <w:tcPr>
            <w:tcW w:type="dxa" w:w="2409"/>
          </w:tcPr>
          <w:p>
            <w:r>
              <w:t>0,3710</w:t>
            </w:r>
          </w:p>
        </w:tc>
      </w:tr>
      <w:tr>
        <w:tc>
          <w:tcPr>
            <w:tcW w:type="dxa" w:w="2409"/>
          </w:tcPr>
          <w:p>
            <w:r>
              <w:t>Leukosit (×10³/µL)</w:t>
            </w:r>
          </w:p>
        </w:tc>
        <w:tc>
          <w:tcPr>
            <w:tcW w:type="dxa" w:w="2409"/>
          </w:tcPr>
          <w:p>
            <w:r>
              <w:t>12,6 ± 5,0</w:t>
            </w:r>
          </w:p>
        </w:tc>
        <w:tc>
          <w:tcPr>
            <w:tcW w:type="dxa" w:w="2409"/>
          </w:tcPr>
          <w:p>
            <w:r>
              <w:t>13,3 ± 5,9</w:t>
            </w:r>
          </w:p>
        </w:tc>
        <w:tc>
          <w:tcPr>
            <w:tcW w:type="dxa" w:w="2409"/>
          </w:tcPr>
          <w:p>
            <w:r>
              <w:t>0,1813</w:t>
            </w:r>
          </w:p>
        </w:tc>
      </w:tr>
      <w:tr>
        <w:tc>
          <w:tcPr>
            <w:tcW w:type="dxa" w:w="2409"/>
          </w:tcPr>
          <w:p>
            <w:r>
              <w:t>Trombosit (×10³/µL)</w:t>
            </w:r>
          </w:p>
        </w:tc>
        <w:tc>
          <w:tcPr>
            <w:tcW w:type="dxa" w:w="2409"/>
          </w:tcPr>
          <w:p>
            <w:r>
              <w:t>270,0 ± 78,0</w:t>
            </w:r>
          </w:p>
        </w:tc>
        <w:tc>
          <w:tcPr>
            <w:tcW w:type="dxa" w:w="2409"/>
          </w:tcPr>
          <w:p>
            <w:r>
              <w:t>262,3 ± 118,1</w:t>
            </w:r>
          </w:p>
        </w:tc>
        <w:tc>
          <w:tcPr>
            <w:tcW w:type="dxa" w:w="2409"/>
          </w:tcPr>
          <w:p>
            <w:r>
              <w:t>0,4943</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Troponin I (ng/mL)</w:t>
            </w:r>
          </w:p>
        </w:tc>
        <w:tc>
          <w:tcPr>
            <w:tcW w:type="dxa" w:w="2409"/>
          </w:tcPr>
          <w:p>
            <w:r>
              <w:t>16771,2 ± 22440,3</w:t>
            </w:r>
          </w:p>
        </w:tc>
        <w:tc>
          <w:tcPr>
            <w:tcW w:type="dxa" w:w="2409"/>
          </w:tcPr>
          <w:p>
            <w:r>
              <w:t>15142,8 ± 21999,8</w:t>
            </w:r>
          </w:p>
        </w:tc>
        <w:tc>
          <w:tcPr>
            <w:tcW w:type="dxa" w:w="2409"/>
          </w:tcPr>
          <w:p>
            <w:r>
              <w:t>0,4550</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PT (detik)</w:t>
            </w:r>
          </w:p>
        </w:tc>
        <w:tc>
          <w:tcPr>
            <w:tcW w:type="dxa" w:w="2409"/>
          </w:tcPr>
          <w:p>
            <w:r>
              <w:t>12,4 ± 6,5</w:t>
            </w:r>
          </w:p>
        </w:tc>
        <w:tc>
          <w:tcPr>
            <w:tcW w:type="dxa" w:w="2409"/>
          </w:tcPr>
          <w:p>
            <w:r>
              <w:t>14,7 ± 19,1</w:t>
            </w:r>
          </w:p>
        </w:tc>
        <w:tc>
          <w:tcPr>
            <w:tcW w:type="dxa" w:w="2409"/>
          </w:tcPr>
          <w:p>
            <w:r>
              <w:t>0,2052</w:t>
            </w:r>
          </w:p>
        </w:tc>
      </w:tr>
      <w:tr>
        <w:tc>
          <w:tcPr>
            <w:tcW w:type="dxa" w:w="2409"/>
          </w:tcPr>
          <w:p>
            <w:r>
              <w:t>INR</w:t>
            </w:r>
          </w:p>
        </w:tc>
        <w:tc>
          <w:tcPr>
            <w:tcW w:type="dxa" w:w="2409"/>
          </w:tcPr>
          <w:p>
            <w:r>
              <w:t>1,3 ± 4,9</w:t>
            </w:r>
          </w:p>
        </w:tc>
        <w:tc>
          <w:tcPr>
            <w:tcW w:type="dxa" w:w="2409"/>
          </w:tcPr>
          <w:p>
            <w:r>
              <w:t>1,3 ± 1,6</w:t>
            </w:r>
          </w:p>
        </w:tc>
        <w:tc>
          <w:tcPr>
            <w:tcW w:type="dxa" w:w="2409"/>
          </w:tcPr>
          <w:p>
            <w:r>
              <w:t>0,9628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Cardiac Output (L/menit)</w:t>
            </w:r>
          </w:p>
        </w:tc>
        <w:tc>
          <w:tcPr>
            <w:tcW w:type="dxa" w:w="2409"/>
          </w:tcPr>
          <w:p>
            <w:r>
              <w:t>4,1 ± 1,2</w:t>
            </w:r>
          </w:p>
        </w:tc>
        <w:tc>
          <w:tcPr>
            <w:tcW w:type="dxa" w:w="2409"/>
          </w:tcPr>
          <w:p>
            <w:r>
              <w:t>3,9 ± 1,4</w:t>
            </w:r>
          </w:p>
        </w:tc>
        <w:tc>
          <w:tcPr>
            <w:tcW w:type="dxa" w:w="2409"/>
          </w:tcPr>
          <w:p>
            <w:r>
              <w:t>0,1665</w:t>
            </w:r>
          </w:p>
        </w:tc>
      </w:tr>
      <w:tr>
        <w:tc>
          <w:tcPr>
            <w:tcW w:type="dxa" w:w="2409"/>
          </w:tcPr>
          <w:p>
            <w:r>
              <w:t>BSA (m²)</w:t>
            </w:r>
          </w:p>
        </w:tc>
        <w:tc>
          <w:tcPr>
            <w:tcW w:type="dxa" w:w="2409"/>
          </w:tcPr>
          <w:p>
            <w:r>
              <w:t>1,7 ± 0,2</w:t>
            </w:r>
          </w:p>
        </w:tc>
        <w:tc>
          <w:tcPr>
            <w:tcW w:type="dxa" w:w="2409"/>
          </w:tcPr>
          <w:p>
            <w:r>
              <w:t>1,7 ± 0,2</w:t>
            </w:r>
          </w:p>
        </w:tc>
        <w:tc>
          <w:tcPr>
            <w:tcW w:type="dxa" w:w="2409"/>
          </w:tcPr>
          <w:p>
            <w:r>
              <w:t>0,0103</w:t>
            </w:r>
          </w:p>
        </w:tc>
      </w:tr>
      <w:tr>
        <w:tc>
          <w:tcPr>
            <w:tcW w:type="dxa" w:w="2409"/>
          </w:tcPr>
          <w:p>
            <w:r>
              <w:t>RWMA — n (%)</w:t>
            </w:r>
          </w:p>
        </w:tc>
        <w:tc>
          <w:tcPr>
            <w:tcW w:type="dxa" w:w="2409"/>
          </w:tcPr>
          <w:p>
            <w:r>
              <w:t>1319 (93,6)</w:t>
            </w:r>
          </w:p>
        </w:tc>
        <w:tc>
          <w:tcPr>
            <w:tcW w:type="dxa" w:w="2409"/>
          </w:tcPr>
          <w:p>
            <w:r>
              <w:t>109 (94,8)</w:t>
            </w:r>
          </w:p>
        </w:tc>
        <w:tc>
          <w:tcPr>
            <w:tcW w:type="dxa" w:w="2409"/>
          </w:tcPr>
          <w:p>
            <w:r>
              <w:t>0,7664</w:t>
            </w:r>
          </w:p>
        </w:tc>
      </w:tr>
      <w:tr>
        <w:tc>
          <w:tcPr>
            <w:tcW w:type="dxa" w:w="2409"/>
          </w:tcPr>
          <w:p>
            <w:r>
              <w:t>Dilatasi LA — n (%)</w:t>
            </w:r>
          </w:p>
        </w:tc>
        <w:tc>
          <w:tcPr>
            <w:tcW w:type="dxa" w:w="2409"/>
          </w:tcPr>
          <w:p>
            <w:r>
              <w:t>299 (21,2)</w:t>
            </w:r>
          </w:p>
        </w:tc>
        <w:tc>
          <w:tcPr>
            <w:tcW w:type="dxa" w:w="2409"/>
          </w:tcPr>
          <w:p>
            <w:r>
              <w:t>52 (45,2)</w:t>
            </w:r>
          </w:p>
        </w:tc>
        <w:tc>
          <w:tcPr>
            <w:tcW w:type="dxa" w:w="2409"/>
          </w:tcPr>
          <w:p>
            <w:r>
              <w:t>&lt;0,0001</w:t>
            </w:r>
          </w:p>
        </w:tc>
      </w:tr>
      <w:tr>
        <w:tc>
          <w:tcPr>
            <w:tcW w:type="dxa" w:w="2409"/>
          </w:tcPr>
          <w:p>
            <w:r>
              <w:t>Dilatasi RA — n (%)</w:t>
            </w:r>
          </w:p>
        </w:tc>
        <w:tc>
          <w:tcPr>
            <w:tcW w:type="dxa" w:w="2409"/>
          </w:tcPr>
          <w:p>
            <w:r>
              <w:t>81 (5,7)</w:t>
            </w:r>
          </w:p>
        </w:tc>
        <w:tc>
          <w:tcPr>
            <w:tcW w:type="dxa" w:w="2409"/>
          </w:tcPr>
          <w:p>
            <w:r>
              <w:t>11 (9,6)</w:t>
            </w:r>
          </w:p>
        </w:tc>
        <w:tc>
          <w:tcPr>
            <w:tcW w:type="dxa" w:w="2409"/>
          </w:tcPr>
          <w:p>
            <w:r>
              <w:t>0,1474</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Elevasi ST anterior/LBBB — n (%)</w:t>
            </w:r>
          </w:p>
        </w:tc>
        <w:tc>
          <w:tcPr>
            <w:tcW w:type="dxa" w:w="2409"/>
          </w:tcPr>
          <w:p>
            <w:r>
              <w:t>576 (40,9)</w:t>
            </w:r>
          </w:p>
        </w:tc>
        <w:tc>
          <w:tcPr>
            <w:tcW w:type="dxa" w:w="2409"/>
          </w:tcPr>
          <w:p>
            <w:r>
              <w:t>46 (40,0)</w:t>
            </w:r>
          </w:p>
        </w:tc>
        <w:tc>
          <w:tcPr>
            <w:tcW w:type="dxa" w:w="2409"/>
          </w:tcPr>
          <w:p>
            <w:r>
              <w:t>0,9315</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STEMI (n=1.047)</w:t>
            </w:r>
          </w:p>
        </w:tc>
        <w:tc>
          <w:tcPr>
            <w:tcW w:type="dxa" w:w="1856"/>
            <w:shd w:val="clear" w:fill="D9E2F3"/>
          </w:tcPr>
          <w:p>
            <w:pPr>
              <w:jc w:val="center"/>
              <w:spacing w:line="360" w:lineRule="auto"/>
            </w:pPr>
            <w:r>
              <w:rPr>
                <w:rFonts w:ascii="Times New Roman" w:hAnsi="Times New Roman" w:cs="Times New Roman"/>
                <w:sz w:val="24"/>
                <w:szCs w:val="24"/>
              </w:rPr>
              <w:t>NSTEMI (n=477)</w:t>
            </w:r>
            <w:r>
              <w:rPr>
                <w:rFonts w:ascii="Times New Roman" w:hAnsi="Times New Roman" w:cs="Times New Roman"/>
                <w:b/>
                <w:sz w:val="24"/>
                <w:szCs w:val="24"/>
              </w:rPr>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batas safety (0,018455) dipilih dengan prioritas sensitivitas ≥97,5% untuk meminimalkan false negative pada skrining awal di IGD. Pada ambang batas ini, model mencapai sensitivitas 98,3% (FN=2) dengan spesifisitas 19,7%. Sementara itu, ambang batas Youden (0,103981) memberikan keseimbangan optimal antara sensitivitas (80,9%) dan spesifisitas (70,6%) untuk stratifikasi triase definitif.</w:t>
      </w:r>
    </w:p>
    <w:p>
      <w:pPr>
        <w:spacing w:lineRule="auto" w:line="360"/>
        <w:ind w:firstLine="720"/>
        <w:jc w:val="both"/>
      </w:pPr>
      <w:r>
        <w:t>Ambang batas Youden (0,103981)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t>Matriks konfusi disusun berdasarkan prediksi out-of-fold dari validasi silang 5-lipat, di mana setiap pasien menjadi bagian dari data uji tepat satu kali sehingga seluruh 1524 pasien memiliki prediksi yang tidak bias. Pada ambang batas safety (0,018455)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Nilai AUPRC 0,301 secara signifikan lebih tinggi dibandingkan prevalsi baseline (7,5%), mengonfirmasi bahwa model memiliki kemampuan prediktif yang bermakna di luar random guessing. Precision tetap terjaga pada level yang wajar bahkan pada recall yang tinggi, menunjukkan bahwa model tidak hanya mendeteksi kasus positif tetapi juga melakukannya dengan presisi yang memadai.</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r>
              <w:t>Peringkat</w:t>
            </w:r>
          </w:p>
        </w:tc>
        <w:tc>
          <w:tcPr>
            <w:tcW w:type="dxa" w:w="1856"/>
            <w:shd w:val="clear" w:fill="D9E2F3"/>
          </w:tcPr>
          <w:p>
            <w:r>
              <w:t>Fitur</w:t>
            </w:r>
          </w:p>
        </w:tc>
        <w:tc>
          <w:tcPr>
            <w:tcW w:type="dxa" w:w="1856"/>
            <w:shd w:val="clear" w:fill="D9E2F3"/>
          </w:tcPr>
          <w:p>
            <w:r>
              <w:t>Gini importance rerata</w:t>
            </w:r>
          </w:p>
        </w:tc>
        <w:tc>
          <w:tcPr>
            <w:tcW w:type="dxa" w:w="1856"/>
            <w:shd w:val="clear" w:fill="D9E2F3"/>
          </w:tcPr>
          <w:p>
            <w: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0,0615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teratas adalah ureum, eGFR, dan usia. Dominasi parameter fungsi ginjal (eGFR dan ureum) menunjukkan bahwa disfungsi ginjal merupakan penanda paling sensitif untuk hipoperfusi organ dan keparahan penyakit pada pasien SKA. LVOT VTI sebagai fitur ketiga terpenting mengonfirmasi pentingnya penilaian curah jantung secara langsung melalui ekokardiografi.</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r>
              <w:t>Kategori Risiko</w:t>
            </w:r>
          </w:p>
        </w:tc>
        <w:tc>
          <w:tcPr>
            <w:tcW w:type="dxa" w:w="1485"/>
            <w:shd w:val="clear" w:fill="D9E2F3"/>
          </w:tcPr>
          <w:p>
            <w:r>
              <w:t>Ambang Batas</w:t>
            </w:r>
          </w:p>
        </w:tc>
        <w:tc>
          <w:tcPr>
            <w:tcW w:type="dxa" w:w="1485"/>
            <w:shd w:val="clear" w:fill="D9E2F3"/>
          </w:tcPr>
          <w:p>
            <w:r>
              <w:t>n</w:t>
            </w:r>
          </w:p>
        </w:tc>
        <w:tc>
          <w:tcPr>
            <w:tcW w:type="dxa" w:w="1485"/>
            <w:shd w:val="clear" w:fill="D9E2F3"/>
          </w:tcPr>
          <w:p>
            <w:r>
              <w:t>Mortalitas</w:t>
            </w:r>
          </w:p>
        </w:tc>
        <w:tc>
          <w:tcPr>
            <w:tcW w:type="dxa" w:w="1485"/>
            <w:shd w:val="clear" w:fill="D9E2F3"/>
          </w:tcPr>
          <w:p>
            <w: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ini menunjukkan gradien risiko yang sangat jelas: dari 0,7% pada kelompok risiko rendah, 2,7% pada kelompok risiko sedang, hingga 18,3% pada kelompok risiko tinggi. Kelompok risiko tinggi (33,3% dari total populasi) menyumbang 80,9% dari seluruh kejadian mortalitas, menunjukkan efisiensi stratifikasi yang baik. Adanya kelompok risiko sedang (HCU) mencegah over-triage dengan mengalokasikan pasien moderate-risk ke unit perawatan intermediat, bukan ke ICU.</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r>
              <w:t>Luaran</w:t>
            </w:r>
          </w:p>
        </w:tc>
        <w:tc>
          <w:tcPr>
            <w:tcW w:type="dxa" w:w="1485"/>
            <w:shd w:val="clear" w:fill="D9E2F3"/>
          </w:tcPr>
          <w:p>
            <w:r>
              <w:t>AUC</w:t>
            </w:r>
          </w:p>
        </w:tc>
        <w:tc>
          <w:tcPr>
            <w:tcW w:type="dxa" w:w="1485"/>
            <w:shd w:val="clear" w:fill="D9E2F3"/>
          </w:tcPr>
          <w:p>
            <w:r>
              <w:t>AUPRC</w:t>
            </w:r>
          </w:p>
        </w:tc>
        <w:tc>
          <w:tcPr>
            <w:tcW w:type="dxa" w:w="1485"/>
            <w:shd w:val="clear" w:fill="D9E2F3"/>
          </w:tcPr>
          <w:p>
            <w:r>
              <w:t>Prevalensi</w:t>
            </w:r>
          </w:p>
        </w:tc>
        <w:tc>
          <w:tcPr>
            <w:tcW w:type="dxa" w:w="1485"/>
            <w:shd w:val="clear" w:fill="D9E2F3"/>
          </w:tcPr>
          <w:p>
            <w: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performa terbaik untuk luaran mortalitas (AUC 0,818), diikuti oleh luaran komposit (AUC 0,742), dan syok kardiogenik baru (AUC 0,670). Perbedaan ini dapat dijelaskan oleh heterogenitas definisi dan pencatatan luaran SKG dalam rekam medis, serta kemungkinan overlap antara SKG yang sudah manifes saat admisi dan yang baru timbul selama perawatan.</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Metrik</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Random Forest</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r>
              <w:t>Analisis</w:t>
            </w:r>
          </w:p>
        </w:tc>
        <w:tc>
          <w:tcPr>
            <w:tcW w:type="dxa" w:w="1856"/>
            <w:shd w:val="clear" w:fill="D9E2F3"/>
          </w:tcPr>
          <w:p>
            <w:r>
              <w:t>Populasi / ambang</w:t>
            </w:r>
          </w:p>
        </w:tc>
        <w:tc>
          <w:tcPr>
            <w:tcW w:type="dxa" w:w="1856"/>
            <w:shd w:val="clear" w:fill="D9E2F3"/>
          </w:tcPr>
          <w:p>
            <w:r>
              <w:t>Hasil</w:t>
            </w:r>
          </w:p>
        </w:tc>
        <w:tc>
          <w:tcPr>
            <w:tcW w:type="dxa" w:w="1856"/>
            <w:shd w:val="clear" w:fill="D9E2F3"/>
          </w:tcPr>
          <w:p>
            <w: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p=0,0000</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3.11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Penelitian ini berhasil mengembangkan model prediksi mortalitas in-hospital pada pasien STEMI dan NSTEMI menggunakan algoritma Random Forest dengan performa yang baik. AUC sebesar 0.818 (95% CI: 0.812-0.824) menunjukkan diskriminasi yang baik antara pasien yang meninggal dan selamat. Kalibrasi model juga baik dengan Brier score sebesar 0.061. Pada ambang batas Youden (0.103981), model mencapai sensitivitas 80.9% dan spesifisitas 70.6%, dengan nilai prediktif positif 18.3% dan nilai prediktif negatif 97.8%. Sementara itu, pada ambang batas keselamatan (safety threshold) sebesar 0.018455 yang dirancang untuk meminimalkan pasien yang terlewat (false negative), model mencapai sensitivitas 98.3% dengan hanya 2 pasien meninggal yang tidak terdeteksi, meskipun spesifisitas lebih rendah (19.7%).</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Validasi multi-seed (10 seed berbeda) yang dilakukan dalam penelitian ini memberikan gambaran yang lebih akurat mengenai stabilitas model. Dengan standar deviasi AUC hanya 0,003 dan rentang 0,814-0,824, model menunjukkan konsistensi yang sangat baik. Hal ini penting untuk menjamin bahwa performa model tidak bergantung pada pembagian data latih-uji yang kebetulan, melainkan merefleksikan kemampuan generalisasi yang sebenarnya.</w:t>
      </w:r>
    </w:p>
    <w:p>
      <w:pPr>
        <w:spacing w:lineRule="auto" w:line="360"/>
        <w:ind w:firstLine="720"/>
        <w:jc w:val="both"/>
      </w:pPr>
      <w:r>
        <w:t>Kalibrasi model yang baik (Brier score 0.061) merupakan temuan yang penting karena seringkali model machine learning dengan diskriminasi tinggi memiliki kalibrasi yang buruk (Christodoulou et al., 2019). Kalibrasi yang baik memastikan bahwa probabilitas yang diprediksi oleh model dapat diinterpretasikan secara langsung sebagai risiko aktual, yang merupakan prasyarat untuk pengambilan keputusan klinis yang informed.</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Dalam penelitian ini, Random Forest menunjukkan performa yang sedikit lebih baik dibandingkan XGBoost (AUC 0.818 vs 0,789). Temuan ini menarik karena XGBoost sering dianggap sebagai algoritma state-of-the-art untuk data tabular dan umumnya unggul dalam kompetisi machine learning (Chen dan Guestrin, 2016).</w:t>
      </w:r>
    </w:p>
    <w:p>
      <w:pPr>
        <w:spacing w:lineRule="auto" w:line="360"/>
        <w:ind w:firstLine="720"/>
        <w:jc w:val="both"/>
      </w:pPr>
      <w:r>
        <w:t>Beberapa faktor dapat menjelaskan keunggulan Random Forest dalam konteks ini. Pertama, ukuran dataset yang relatif moderat (n=1524 dengan 115 events) mungkin lebih sesuai untuk algoritma bagging seperti Random Forest yang memiliki varians lebih rendah. XGBoost, sebagai algoritma boosting, memiliki tendensi untuk overfitting pada dataset kecil meskipun regularisasi sudah dioptimalkan (Hastie et al., 2009). Kedua, Random Forest secara yang melekat lebih robust terhadap outlier dan noise, yang umum ditemukan dalam data rekam medis retrospektif. Ketiga, struktur pohon independen pada Random Forest menangkap interaksi fitur secara ensemble, sementara XGBoost membangun pohon secara sekuensial yang mungkin memperkuat noise.</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(ward) dengan probabilitas prediksi kurang dari ambang safety (&lt; 0,018455) terdiri dari 371 pasien (24,3% dari total populasi) dengan mortalitas 0,7% (2 dari 371 pasien). Kelompok ini memiliki risiko sangat rendah sehingga aman untuk ditatalaksana di rawat inap lantai dasar dengan monitoring rutin.</w:t>
      </w:r>
    </w:p>
    <w:p>
      <w:pPr>
        <w:spacing w:lineRule="auto" w:line="360"/>
        <w:ind w:firstLine="720"/>
        <w:jc w:val="both"/>
      </w:pPr>
      <w:r>
        <w:t>Kelompok risiko sedang (HCU) dengan probabilitas 0,018455–0,103981 mencakup 817 pasien (48,4% populasi) dengan mortalitas 3,8% (31 dari 115 kematian). Kelompok ini memerlukan monitoring yang lebih ketat dibandingkan pasien ward namun tidak memerlukan sumber daya intensif setingkat ICU. Sebaliknya, kelompok risiko tinggi dengan probabilitas prediksi ≥0,103981 mencakup 336 pasien (33,3% dari populasi) namun menyumbang 80,9% dari seluruh kejadian mortalitas (93 dari 115 kematian). Mortalitas pada kelompok ini mencapai 18,3%, lebih dari dua puluh kali lipat kelompok risiko rendah.</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AUC GRACE 2.0 adalah 0,777, lebih rendah dari AUC model Random Forest (0,818). Pada ambang GRACE ≥160 (setara dengan prediksi mortalitas sekitar 20%), GRACE mengidentifikasi 317 pasien (20,8% populasi) sebagai risiko tinggi dengan sensitivitas 57,4% (66 dari 115 kematian terdeteksi) dan spesifisitas 82,2%. Model Random Forest pada ambang Youden (0,103981) mengidentifikasi 446 pasien (29,3% populasi) dengan sensitivitas 77,4% (89 dari 115 kematian) dan spesifisitas 74,7%. GRACE ≥160 memang memiliki spesifisitas lebih tinggi, tetapi model Random Forest mendeteksi 23 kematian tambahan dengan konsekuensi 129 pasien flagged tambahan.</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Keunggulan model kami terletak pada beberapa aspek: (1) penggunaan data yang tersedia secara rutin dalam 24 jam pertama admisi, sehingga aplikatif di IGD; (2) interpretabilitas yang baik melalui feature importance; (3) kalibrasi yang tervalidasi; dan (4) sistem triase bertingkat yang siap pakai untuk stratifikasi risiko. Namun, validasi eksternal pada populasi yang berbeda masih diperlukan sebelum implementasi klinis yang luas.</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3.11)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Model Random Forest yang dikembangkan menunjukkan performa diskriminasi yang baik dengan AUC 0.818 (95% CI: 0.812-0.824) dan kalibrasi yang baik dengan Brier score 0.061. Model konsisten pada validasi silang 10 seed dengan standar deviasi AUC 0.0032. Pada ambang Youden, model mencapai sensitivitas 80.9% dan spesifisitas 70.6% dengan flag positif 336 pasien (33,3% dari populasi).</w:t>
      </w:r>
    </w:p>
    <w:p>
      <w:pPr>
        <w:spacing w:lineRule="auto" w:line="360"/>
        <w:ind w:firstLine="720"/>
        <w:jc w:val="both"/>
      </w:pPr>
      <w:r>
        <w:t>3. Sistem triase tiga tingkat berdasarkan kombinasi ambang safety (0,018455) dan Youden (0,103981) mampu mengidentifikasi tiga strata risiko: kelompok risiko tinggi (ICU) dengan mortalitas 18,3% yang mencakup 33,3% populasi (336 pasien) namun menyumbang 80,9% kejadian mortalitas, kelompok risiko sedang (HCU) dengan mortalitas 3,8% (817 pasien, 48,4% populasi), dan kelompok risiko rendah (ward) dengan mortalitas 0,7% (371 pasien, 18,3% populasi).</w:t>
      </w:r>
    </w:p>
    <w:p>
      <w:pPr>
        <w:spacing w:lineRule="auto" w:line="360"/>
        <w:ind w:firstLine="720"/>
        <w:jc w:val="both"/>
      </w:pPr>
      <w:r>
        <w:rPr>
          <w:rFonts w:ascii="Times New Roman" w:hAnsi="Times New Roman" w:cs="Times New Roman"/>
          <w:b w:val="0"/>
          <w:i w:val="0"/>
          <w:sz w:val="24"/>
          <w:szCs w:val="24"/>
        </w:rPr>
        <w:t>4. Model Random Forest menunjukkan performa yang lebih baik dibandingkan XGBoost (AUC 0.818 vs 0,789) dan lebih unggul dari skor risiko konvensional seperti GRACE (AUC 0,745-0,831) dan TIMI (AUC 0,650-0,760) yang dilaporkan dalam literatur.</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