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9354"/>
            <w:gridSpan w:val="4"/>
            <w:shd w:fill="D9E2F3" w:val="clear"/>
          </w:tcPr>
          <w:p>
            <w:pPr>
              <w:jc w:val="left"/>
              <w:spacing w:line="360" w:lineRule="auto"/>
            </w:pPr>
            <w:r>
              <w:rPr>
                <w:b/>
                <w:color w:val="1F3864"/>
                <w:sz w:val="20"/>
              </w:rPr>
              <w:t>Variabel Dependen</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r>
              <w:rPr>
                <w:b w:val="0"/>
                <w:sz w:val="20"/>
              </w:rPr>
              <w:t>Syok kardiogenik de novo</w:t>
            </w:r>
          </w:p>
        </w:tc>
        <w:tc>
          <w:tcPr>
            <w:tcW w:type="dxa" w:w="3118"/>
          </w:tcPr>
          <w:p>
            <w:r>
              <w:rPr>
                <w:b w:val="0"/>
                <w:sz w:val="20"/>
              </w:rPr>
              <w:t>Syok kardiogenik baru (de novo) yang terjadi setelah admisi rawat inap, didefinisikan sebagai SBP &lt;90 mmHg atau kebutuhan vasopresor untuk mempertahankan tekanan darah, disertai tanda hipoperfusi organ, yang tidak ada saat admisi IGD</w:t>
            </w:r>
          </w:p>
        </w:tc>
        <w:tc>
          <w:tcPr>
            <w:tcW w:type="dxa" w:w="850"/>
          </w:tcPr>
          <w:p>
            <w:r>
              <w:rPr>
                <w:b w:val="0"/>
                <w:sz w:val="20"/>
              </w:rPr>
              <w:t>Biner</w:t>
            </w:r>
          </w:p>
        </w:tc>
        <w:tc>
          <w:tcPr>
            <w:tcW w:type="dxa" w:w="3969"/>
          </w:tcPr>
          <w:p>
            <w:r>
              <w:rPr>
                <w:b w:val="0"/>
                <w:sz w:val="20"/>
              </w:rPr>
              <w:t>Ya=1 jika cardiogenic_shock=1 dan shock_on_arrival=0; Tidak=0</w:t>
            </w:r>
          </w:p>
        </w:tc>
      </w:tr>
      <w:tr>
        <w:tc>
          <w:tcPr>
            <w:tcW w:type="dxa" w:w="1417"/>
          </w:tcPr>
          <w:p>
            <w:r>
              <w:rPr>
                <w:b w:val="0"/>
                <w:sz w:val="20"/>
              </w:rPr>
              <w:t>Komposit (mortalitas dan/atau syok kardiogenik)</w:t>
            </w:r>
          </w:p>
        </w:tc>
        <w:tc>
          <w:tcPr>
            <w:tcW w:type="dxa" w:w="3118"/>
          </w:tcPr>
          <w:p>
            <w:r>
              <w:rPr>
                <w:b w:val="0"/>
                <w:sz w:val="20"/>
              </w:rPr>
              <w:t>Luaran gabungan berupa kematian in-hospital dan/atau syok kardiogenik de novo selama periode perawatan indeks</w:t>
            </w:r>
          </w:p>
        </w:tc>
        <w:tc>
          <w:tcPr>
            <w:tcW w:type="dxa" w:w="850"/>
          </w:tcPr>
          <w:p>
            <w:r>
              <w:rPr>
                <w:b w:val="0"/>
                <w:sz w:val="20"/>
              </w:rPr>
              <w:t>Biner</w:t>
            </w:r>
          </w:p>
        </w:tc>
        <w:tc>
          <w:tcPr>
            <w:tcW w:type="dxa" w:w="3969"/>
          </w:tcPr>
          <w:p>
            <w:r>
              <w:rPr>
                <w:b w:val="0"/>
                <w:sz w:val="20"/>
              </w:rPr>
              <w:t>Ya=1 jika inhospital_death=1 atau cardiogenic_shock=1; Tidak=0 jika hidup tanpa syok kardiogenik saat pulang</w:t>
            </w:r>
          </w:p>
        </w:tc>
      </w:tr>
      <w:tr>
        <w:tc>
          <w:tcPr>
            <w:tcW w:type="dxa" w:w="9354"/>
            <w:gridSpan w:val="4"/>
            <w:shd w:fill="D9E2F3" w:val="clear"/>
          </w:tcPr>
          <w:p>
            <w:pPr>
              <w:jc w:val="left"/>
              <w:spacing w:line="360" w:lineRule="auto"/>
            </w:pPr>
            <w:r>
              <w:rPr>
                <w:b/>
                <w:color w:val="1F3864"/>
                <w:sz w:val="20"/>
              </w:rPr>
              <w:t>A. Karakteristik Demografis</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9354"/>
            <w:gridSpan w:val="4"/>
            <w:shd w:fill="D9E2F3" w:val="clear"/>
          </w:tcPr>
          <w:p>
            <w:pPr>
              <w:jc w:val="left"/>
              <w:spacing w:line="360" w:lineRule="auto"/>
            </w:pPr>
            <w:r>
              <w:rPr>
                <w:b/>
                <w:color w:val="1F3864"/>
                <w:sz w:val="20"/>
              </w:rPr>
              <w:t>B. Parameter Klinis</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9354"/>
            <w:gridSpan w:val="4"/>
            <w:shd w:fill="D9E2F3" w:val="clear"/>
          </w:tcPr>
          <w:p>
            <w:pPr>
              <w:jc w:val="left"/>
              <w:spacing w:line="360" w:lineRule="auto"/>
            </w:pPr>
            <w:r>
              <w:rPr>
                <w:b/>
                <w:color w:val="1F3864"/>
                <w:sz w:val="20"/>
              </w:rPr>
              <w:t>C. Parameter EKG</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9354"/>
            <w:gridSpan w:val="4"/>
            <w:shd w:fill="D9E2F3" w:val="clear"/>
          </w:tcPr>
          <w:p>
            <w:pPr>
              <w:jc w:val="left"/>
              <w:spacing w:line="360" w:lineRule="auto"/>
            </w:pPr>
            <w:r>
              <w:rPr>
                <w:b/>
                <w:color w:val="1F3864"/>
                <w:sz w:val="20"/>
              </w:rPr>
              <w:t>D. Parameter Laboratorium</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9354"/>
            <w:gridSpan w:val="4"/>
            <w:shd w:fill="D9E2F3" w:val="clear"/>
          </w:tcPr>
          <w:p>
            <w:pPr>
              <w:jc w:val="left"/>
              <w:spacing w:line="360" w:lineRule="auto"/>
            </w:pPr>
            <w:r>
              <w:rPr>
                <w:b/>
                <w:color w:val="1F3864"/>
                <w:sz w:val="20"/>
              </w:rPr>
              <w:t>E. Parameter Ekokardiografi</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9354"/>
            <w:gridSpan w:val="4"/>
            <w:shd w:fill="D9E2F3" w:val="clear"/>
          </w:tcPr>
          <w:p>
            <w:pPr>
              <w:jc w:val="left"/>
              <w:spacing w:line="360" w:lineRule="auto"/>
            </w:pPr>
            <w:r>
              <w:rPr>
                <w:b/>
                <w:color w:val="1F3864"/>
                <w:sz w:val="20"/>
              </w:rPr>
              <w:t>F. Variabel Perancu</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3.10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pPr>
        <w:jc w:val="both"/>
      </w:pPr>
      <w:r>
        <w:rPr>
          <w:rFonts w:ascii="Times New Roman" w:hAnsi="Times New Roman"/>
          <w:sz w:val="24"/>
        </w:rPr>
        <w:t>Seleksi subjek penelitian dilakukan secara retrospektif dari basis data RME pasien dengan diagnosis utama STEMI atau NSTEMI yang dirawat di Pusat Jantung Terpadu RSUP Dr. Wahidin Sudirohusodo Makassar periode Januari 2024 sampai Maret 2026. Dari 1.952 rekam pasien yang teridentifikasi, dilakukan eksklusi bertahap melalui kriteria yang telah ditetapkan sebelumnya. Alur seleksi lengkap disajikan pada Gambar 2.3.</w:t>
      </w:r>
    </w:p>
    <w:p>
      <w:pPr>
        <w:jc w:val="both"/>
      </w:pPr>
      <w:r/>
      <w:r>
        <w:rPr>
          <w:rFonts w:ascii="Times New Roman" w:hAnsi="Times New Roman"/>
          <w:sz w:val="24"/>
        </w:rPr>
        <w:t>Proses eksklusi mencakup pasien dengan shock atau hipotensi saat admisi, koding non-ACS, riwayat CABG, pulang paksa, data tidak lengkap, dan kelas Killip IV yang terlewat pada penyaringan awal.</w:t>
      </w:r>
    </w:p>
    <w:p>
      <w:r>
        <w:t>Gambar 2.3 Diagram alur seleksi pasien penelitian</w:t>
      </w:r>
    </w:p>
    <w:p>
      <w:pPr>
        <w:jc w:val="center"/>
      </w:pPr>
      <w:r>
        <w:drawing>
          <wp:inline>
            <wp:extent cx="5029200" cy="6272684"/>
            <wp:docPr id="13" name="Picture 1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029200" cy="6272684"/>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jc w:val="center"/>
      </w:pPr>
      <w:r>
        <w:drawing>
          <wp:inline>
            <wp:extent cx="5029200" cy="5001966"/>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500196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Kurva ROC pada Gambar 3.1 menunjukkan performa diskriminasi model pada berbagai ambang klasifikasi. AUC 0,819 menunjukkan kemampuan yang baik untuk membedakan pasien yang mengalami mortalitas dari pasien yang hidup selama perawatan.</w:t>
      </w:r>
    </w:p>
    <w:p>
      <w:pPr>
        <w:spacing w:lineRule="auto" w:line="360"/>
        <w:jc w:val="both"/>
      </w:pPr>
      <w:r>
        <w:rPr>
          <w:rFonts w:ascii="Times New Roman" w:hAnsi="Times New Roman" w:cs="Times New Roman"/>
          <w:b/>
          <w:i w:val="0"/>
          <w:sz w:val="24"/>
          <w:szCs w:val="24"/>
        </w:rPr>
        <w:t>3.2.2 Pemilihan Ambang Batas Optimal</w:t>
      </w:r>
    </w:p>
    <w:p>
      <w:r>
        <w:br/>
      </w:r>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jc w:val="center"/>
      </w:pPr>
      <w:r>
        <w:drawing>
          <wp:inline>
            <wp:extent cx="5029200" cy="336225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62258"/>
                    </a:xfrm>
                    <a:prstGeom prst="rect"/>
                  </pic:spPr>
                </pic:pic>
              </a:graphicData>
            </a:graphic>
          </wp:inline>
        </w:drawing>
      </w:r>
    </w:p>
    <w:p>
      <w:pPr>
        <w:spacing w:lineRule="auto" w:line="360"/>
        <w:jc w:val="both"/>
      </w:pPr>
      <w:r>
        <w:rPr>
          <w:rFonts w:ascii="Times New Roman" w:hAnsi="Times New Roman" w:cs="Times New Roman"/>
          <w:b/>
          <w:i w:val="0"/>
          <w:sz w:val="24"/>
          <w:szCs w:val="24"/>
        </w:rPr>
        <w:t>3.2.3 Analisis Matriks Konfusi</w:t>
      </w:r>
    </w:p>
    <w:p>
      <w:r>
        <w:br/>
      </w:r>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pPr>
        <w:spacing w:lineRule="auto" w:line="360" w:before="60" w:after="120"/>
        <w:jc w:val="center"/>
      </w:pPr>
      <w:r>
        <w:t>Gambar 3.3 Matriks Konfusi Model Random Forest pada Ambang Batas Safety 0,018455</w:t>
      </w:r>
    </w:p>
    <w:p>
      <w:pPr>
        <w:jc w:val="center"/>
      </w:pPr>
      <w:r>
        <w:drawing>
          <wp:inline>
            <wp:extent cx="5029200" cy="4030458"/>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4030458"/>
                    </a:xfrm>
                    <a:prstGeom prst="rect"/>
                  </pic:spPr>
                </pic:pic>
              </a:graphicData>
            </a:graphic>
          </wp:inline>
        </w:drawing>
      </w:r>
    </w:p>
    <w:p>
      <w:pPr>
        <w:spacing w:lineRule="auto" w:line="360"/>
        <w:jc w:val="both"/>
      </w:pPr>
      <w:r>
        <w:rPr>
          <w:rFonts w:ascii="Times New Roman" w:hAnsi="Times New Roman" w:cs="Times New Roman"/>
          <w:b/>
          <w:i w:val="0"/>
          <w:sz w:val="24"/>
          <w:szCs w:val="24"/>
        </w:rPr>
        <w:t>3.2.4 Analisis Kalibrasi</w:t>
      </w:r>
    </w:p>
    <w:p>
      <w:r>
        <w:br/>
      </w:r>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jc w:val="center"/>
      </w:pPr>
      <w:r>
        <w:drawing>
          <wp:inline>
            <wp:extent cx="5029200" cy="4302962"/>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4302962"/>
                    </a:xfrm>
                    <a:prstGeom prst="rect"/>
                  </pic:spPr>
                </pic:pic>
              </a:graphicData>
            </a:graphic>
          </wp:inline>
        </w:drawing>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r>
        <w:br/>
      </w:r>
      <w:r/>
      <w:r>
        <w:br/>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jc w:val="center"/>
      </w:pPr>
      <w:r>
        <w:drawing>
          <wp:inline>
            <wp:extent cx="5029200" cy="3670271"/>
            <wp:docPr id="8" name="Picture 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70271"/>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r>
        <w:br/>
      </w:r>
      <w:r/>
      <w:r>
        <w:br/>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jc w:val="center"/>
      </w:pPr>
      <w:r>
        <w:drawing>
          <wp:inline>
            <wp:extent cx="5029200" cy="4402291"/>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02291"/>
                    </a:xfrm>
                    <a:prstGeom prst="rect"/>
                  </pic:spPr>
                </pic:pic>
              </a:graphicData>
            </a:graphic>
          </wp:inline>
        </w:drawing>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r>
        <w:br/>
      </w:r>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jc w:val="center"/>
      </w:pPr>
      <w:r>
        <w:drawing>
          <wp:inline>
            <wp:extent cx="5029200" cy="3386138"/>
            <wp:docPr id="6" name="Picture 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86138"/>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jc w:val="center"/>
      </w:pPr>
      <w:r>
        <w:drawing>
          <wp:inline>
            <wp:extent cx="5029200" cy="2923165"/>
            <wp:docPr id="5" name="Picture 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2923165"/>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r>
        <w:br/>
      </w:r>
      <w:r/>
      <w:r>
        <w:br/>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jc w:val="center"/>
      </w:pPr>
      <w:r>
        <w:drawing>
          <wp:inline>
            <wp:extent cx="5029200" cy="3322426"/>
            <wp:docPr id="4" name="Picture 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332242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r>
        <w:br/>
      </w:r>
      <w:r/>
      <w:r>
        <w:br/>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jc w:val="center"/>
      </w:pPr>
      <w:r>
        <w:drawing>
          <wp:inline>
            <wp:extent cx="5029200" cy="2176565"/>
            <wp:docPr id="3" name="Picture 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2176565"/>
                    </a:xfrm>
                    <a:prstGeom prst="rect"/>
                  </pic:spPr>
                </pic:pic>
              </a:graphicData>
            </a:graphic>
          </wp:inline>
        </w:drawing>
      </w:r>
    </w:p>
    <w:p>
      <w:pPr>
        <w:spacing w:lineRule="auto" w:line="360" w:before="120" w:after="60"/>
        <w:jc w:val="left"/>
      </w:pPr>
      <w:r>
        <w:rPr>
          <w:rFonts w:ascii="Times New Roman" w:hAnsi="Times New Roman" w:cs="Times New Roman"/>
          <w:b/>
          <w:i w:val="0"/>
          <w:sz w:val="24"/>
          <w:szCs w:val="24"/>
        </w:rPr>
        <w:t>3.5 Performa Model untuk Berbagai Luaran</w:t>
      </w:r>
    </w:p>
    <w:p>
      <w:r>
        <w:br/>
      </w:r>
      <w:r/>
      <w:r>
        <w:br/>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0,747</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r>
              <w:t>11,2%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r>
              <w:t>12,9%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jc w:val="center"/>
      </w:pPr>
      <w:r>
        <w:drawing>
          <wp:inline>
            <wp:extent cx="5029200" cy="5173277"/>
            <wp:docPr id="2" name="Picture 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5173277"/>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Model menunjukkan AUC 0,819 untuk mortalitas, 0,769 untuk luaran komposit, dan 0,747 untuk syok kardiogenik baru. Dari 1.524 subjek, terdapat 115 kematian (7,5%), 171 kejadian syok kardiogenik baru (11,2%), dan 197 kejadian komposit (12,9%). AUPRC syok kardiogenik adalah 0,500 dibandingkan prevalensi 0,112, sedangkan AUPRC komposit adalah 0,635 dibandingkan prevalensi 0,129. Perbandingan deskriptif ini menunjukkan pemeringkatan kelas minoritas yang lebih baik daripada baseline tanpa keterampilan.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r>
        <w:br/>
      </w:r>
      <w:r/>
      <w:r>
        <w:br/>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jc w:val="center"/>
      </w:pPr>
      <w:r>
        <w:drawing>
          <wp:inline>
            <wp:extent cx="5029200" cy="3618260"/>
            <wp:docPr id="1" name="Picture 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3618260"/>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yang sebanding dengan temuan kami (AUC 0,747). Studi tersebut hanya menggunakan variabel klinis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syok kardiogenik baru (AUC 0,747) lebih rendah daripada mortalitas (AUC 0,819). Beberapa faktor dapat menjelaskan perbedaan ini. Pertama, definisi dan pencatatan syok kardiogenik dalam rekam medis mungkin tidak seragam karena desain retrospektif. Kedua, sebagian pasien yang diklasifikasikan mengalami syok baru mungkin telah berada pada fase awal saat admisi, tetapi belum terdokumentasi secara lengkap. Ketiga, 171 kejadian (11,2%) tetap menyediakan informasi kelas positif yang lebih terbatas daripada kelas negatif. Berdasarkan kepentingan fitur, LVOT VTI (Gini 0,132), SBP (0,128), dan APTT (0,083) adalah tiga prediktor terkuat.</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syok kardiogenik menunjukkan AUC 0,769, di antara performa mortalitas (0,819) dan syok kardiogenik (0,747). Analisis ini bersifat eksploratif karena menggabungkan komponen dengan karakteristik prediktif dan implikasi klinis yang berbeda. Berdasarkan kepentingan fitur, LVOT VTI (Gini 0,134), SBP (0,117), dan eGFR (0,113) adalah tiga prediktor terkuat untuk luaran komposit.</w:t>
      </w:r>
    </w:p>
    <w:p>
      <w:pPr>
        <w:jc w:val="center"/>
      </w:pPr>
      <w: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tbl>
      <w:tblPr>
        <w:tblStyle w:val="TableGrid"/>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shd w:fill="D9EAF7"/>
            <w:vAlign w:val="center"/>
          </w:tcPr>
          <w:p>
            <w:r>
              <w:rPr>
                <w:b/>
              </w:rPr>
              <w:t>Luaran</w:t>
            </w:r>
          </w:p>
        </w:tc>
        <w:tc>
          <w:tcPr>
            <w:tcW w:type="dxa" w:w="1928"/>
            <w:shd w:fill="D9EAF7"/>
            <w:vAlign w:val="center"/>
          </w:tcPr>
          <w:p>
            <w:r>
              <w:rPr>
                <w:b/>
              </w:rPr>
              <w:t>AUC</w:t>
            </w:r>
          </w:p>
        </w:tc>
        <w:tc>
          <w:tcPr>
            <w:tcW w:type="dxa" w:w="1928"/>
            <w:shd w:fill="D9EAF7"/>
            <w:vAlign w:val="center"/>
          </w:tcPr>
          <w:p>
            <w:r>
              <w:rPr>
                <w:b/>
              </w:rPr>
              <w:t>±SD</w:t>
            </w:r>
          </w:p>
        </w:tc>
        <w:tc>
          <w:tcPr>
            <w:tcW w:type="dxa" w:w="1928"/>
            <w:shd w:fill="D9EAF7"/>
            <w:vAlign w:val="center"/>
          </w:tcPr>
          <w:p>
            <w:r>
              <w:rPr>
                <w:b/>
              </w:rPr>
              <w:t>IK 95%</w:t>
            </w:r>
          </w:p>
        </w:tc>
        <w:tc>
          <w:tcPr>
            <w:tcW w:type="dxa" w:w="1928"/>
            <w:shd w:fill="D9EAF7"/>
            <w:vAlign w:val="center"/>
          </w:tcPr>
          <w:p>
            <w:r>
              <w:rPr>
                <w:b/>
              </w:rPr>
              <w:t>Kepentingan fitur (3 tertinggi)</w:t>
            </w:r>
          </w:p>
        </w:tc>
      </w:tr>
      <w:tr>
        <w:tc>
          <w:tcPr>
            <w:tcW w:type="dxa" w:w="1928"/>
            <w:vAlign w:val="center"/>
          </w:tcPr>
          <w:p>
            <w:r>
              <w:t>Mortalitas</w:t>
            </w:r>
          </w:p>
        </w:tc>
        <w:tc>
          <w:tcPr>
            <w:tcW w:type="dxa" w:w="1928"/>
            <w:vAlign w:val="center"/>
          </w:tcPr>
          <w:p>
            <w:r>
              <w:t>0,819</w:t>
            </w:r>
          </w:p>
        </w:tc>
        <w:tc>
          <w:tcPr>
            <w:tcW w:type="dxa" w:w="1928"/>
            <w:vAlign w:val="center"/>
          </w:tcPr>
          <w:p>
            <w:r>
              <w:t>0,007</w:t>
            </w:r>
          </w:p>
        </w:tc>
        <w:tc>
          <w:tcPr>
            <w:tcW w:type="dxa" w:w="1928"/>
            <w:vAlign w:val="center"/>
          </w:tcPr>
          <w:p>
            <w:r>
              <w:t>0,805-0,833</w:t>
            </w:r>
          </w:p>
        </w:tc>
        <w:tc>
          <w:tcPr>
            <w:tcW w:type="dxa" w:w="1928"/>
            <w:vAlign w:val="center"/>
          </w:tcPr>
          <w:p>
            <w:r>
              <w:t>eGFR, ureum, LVOT VTI</w:t>
            </w:r>
          </w:p>
        </w:tc>
      </w:tr>
      <w:tr>
        <w:tc>
          <w:tcPr>
            <w:tcW w:type="dxa" w:w="1928"/>
            <w:vAlign w:val="center"/>
          </w:tcPr>
          <w:p>
            <w:r>
              <w:t>Syok kardiogenik baru</w:t>
            </w:r>
          </w:p>
        </w:tc>
        <w:tc>
          <w:tcPr>
            <w:tcW w:type="dxa" w:w="1928"/>
            <w:vAlign w:val="center"/>
          </w:tcPr>
          <w:p>
            <w:r>
              <w:t>0,747</w:t>
            </w:r>
          </w:p>
        </w:tc>
        <w:tc>
          <w:tcPr>
            <w:tcW w:type="dxa" w:w="1928"/>
            <w:vAlign w:val="center"/>
          </w:tcPr>
          <w:p>
            <w:r>
              <w:t>0,005</w:t>
            </w:r>
          </w:p>
        </w:tc>
        <w:tc>
          <w:tcPr>
            <w:tcW w:type="dxa" w:w="1928"/>
            <w:vAlign w:val="center"/>
          </w:tcPr>
          <w:p>
            <w:r>
              <w:t>0,736-0,757</w:t>
            </w:r>
          </w:p>
        </w:tc>
        <w:tc>
          <w:tcPr>
            <w:tcW w:type="dxa" w:w="1928"/>
            <w:vAlign w:val="center"/>
          </w:tcPr>
          <w:p>
            <w:r>
              <w:t>LVOT VTI, SBP, APTT</w:t>
            </w:r>
          </w:p>
        </w:tc>
      </w:tr>
      <w:tr>
        <w:tc>
          <w:tcPr>
            <w:tcW w:type="dxa" w:w="1928"/>
            <w:vAlign w:val="center"/>
          </w:tcPr>
          <w:p>
            <w:r>
              <w:t>Komposit</w:t>
            </w:r>
          </w:p>
        </w:tc>
        <w:tc>
          <w:tcPr>
            <w:tcW w:type="dxa" w:w="1928"/>
            <w:vAlign w:val="center"/>
          </w:tcPr>
          <w:p>
            <w:r>
              <w:t>0,769</w:t>
            </w:r>
          </w:p>
        </w:tc>
        <w:tc>
          <w:tcPr>
            <w:tcW w:type="dxa" w:w="1928"/>
            <w:vAlign w:val="center"/>
          </w:tcPr>
          <w:p>
            <w:r>
              <w:t>0,004</w:t>
            </w:r>
          </w:p>
        </w:tc>
        <w:tc>
          <w:tcPr>
            <w:tcW w:type="dxa" w:w="1928"/>
            <w:vAlign w:val="center"/>
          </w:tcPr>
          <w:p>
            <w:r>
              <w:t>0,761-0,777</w:t>
            </w:r>
          </w:p>
        </w:tc>
        <w:tc>
          <w:tcPr>
            <w:tcW w:type="dxa" w:w="1928"/>
            <w:vAlign w:val="center"/>
          </w:tcPr>
          <w:p>
            <w:r>
              <w:t>LVOT VTI, SBP, eGFR</w:t>
            </w:r>
          </w:p>
        </w:tc>
      </w:tr>
    </w:tbl>
    <w:p>
      <w:pPr>
        <w:spacing w:lineRule="auto" w:line="360"/>
        <w:ind w:firstLine="720"/>
        <w:jc w:val="both"/>
      </w:pPr>
      <w:r>
        <w:rPr>
          <w:rFonts w:ascii="Times New Roman" w:hAnsi="Times New Roman" w:cs="Times New Roman"/>
          <w:b w:val="0"/>
          <w:i w:val="0"/>
          <w:sz w:val="24"/>
          <w:szCs w:val="24"/>
        </w:rP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0,747) dan luaran komposit (AUC 0,769).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2.3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