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p>
      <w:r>
        <w:br w:type="page"/>
      </w:r>
    </w:p>
    <w:p>
      <w:pPr>
        <w:jc w:val="center"/>
      </w:pPr>
      <w:r>
        <w:rPr>
          <w:b/>
        </w:rPr>
        <w:t>LAMPIRAN: PETA PELAPORAN TRIPOD+AI</w:t>
      </w:r>
    </w:p>
    <w:p>
      <w:r>
        <w:t>Peta ini menunjukkan lokasi pelaporan 17 domain utama.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vAlign w:val="center"/>
          </w:tcPr>
          <w:p>
            <w:r>
              <w:t>1. Judul dan jenis studi</w:t>
            </w:r>
          </w:p>
        </w:tc>
        <w:tc>
          <w:tcPr>
            <w:tcW w:type="dxa" w:w="4819"/>
            <w:vAlign w:val="center"/>
          </w:tcPr>
          <w:p>
            <w:r>
              <w:t>Judul/abstrak: model prediksi, luaran, populasi, dan validasi internal disebutkan.</w:t>
            </w:r>
          </w:p>
        </w:tc>
      </w:tr>
      <w:tr>
        <w:tc>
          <w:tcPr>
            <w:tcW w:type="dxa" w:w="4819"/>
            <w:vAlign w:val="center"/>
          </w:tcPr>
          <w:p>
            <w:r>
              <w:t>2. Ringkasan terstruktur</w:t>
            </w:r>
          </w:p>
        </w:tc>
        <w:tc>
          <w:tcPr>
            <w:tcW w:type="dxa" w:w="4819"/>
            <w:vAlign w:val="center"/>
          </w:tcPr>
          <w:p>
            <w:r>
              <w:t>Abstrak: desain, ukuran sampel, kejadian, prediktor, validasi, dan metrik utama.</w:t>
            </w:r>
          </w:p>
        </w:tc>
      </w:tr>
      <w:tr>
        <w:tc>
          <w:tcPr>
            <w:tcW w:type="dxa" w:w="4819"/>
            <w:vAlign w:val="center"/>
          </w:tcPr>
          <w:p>
            <w:r>
              <w:t>3. Latar belakang dan tujuan</w:t>
            </w:r>
          </w:p>
        </w:tc>
        <w:tc>
          <w:tcPr>
            <w:tcW w:type="dxa" w:w="4819"/>
            <w:vAlign w:val="center"/>
          </w:tcPr>
          <w:p>
            <w:r>
              <w:t>Bagian 1.1 sampai 1.3: konteks klinis, model pembanding, dan tujuan.</w:t>
            </w:r>
          </w:p>
        </w:tc>
      </w:tr>
      <w:tr>
        <w:tc>
          <w:tcPr>
            <w:tcW w:type="dxa" w:w="4819"/>
            <w:vAlign w:val="center"/>
          </w:tcPr>
          <w:p>
            <w:r>
              <w:t>4. Sumber data dan waktu</w:t>
            </w:r>
          </w:p>
        </w:tc>
        <w:tc>
          <w:tcPr>
            <w:tcW w:type="dxa" w:w="4819"/>
            <w:vAlign w:val="center"/>
          </w:tcPr>
          <w:p>
            <w:r>
              <w:t>Bagian 2.2 sampai 2.3: Makassar ACS Registry, pusat studi, dan periode 2024 sampai 2025.</w:t>
            </w:r>
          </w:p>
        </w:tc>
      </w:tr>
      <w:tr>
        <w:tc>
          <w:tcPr>
            <w:tcW w:type="dxa" w:w="4819"/>
            <w:vAlign w:val="center"/>
          </w:tcPr>
          <w:p>
            <w:r>
              <w:t>5. Partisipan</w:t>
            </w:r>
          </w:p>
        </w:tc>
        <w:tc>
          <w:tcPr>
            <w:tcW w:type="dxa" w:w="4819"/>
            <w:vAlign w:val="center"/>
          </w:tcPr>
          <w:p>
            <w:r>
              <w:t>Bagian 2.3 sampai 2.4: populasi, total sampling, inklusi, dan eksklusi.</w:t>
            </w:r>
          </w:p>
        </w:tc>
      </w:tr>
      <w:tr>
        <w:tc>
          <w:tcPr>
            <w:tcW w:type="dxa" w:w="4819"/>
            <w:vAlign w:val="center"/>
          </w:tcPr>
          <w:p>
            <w:r>
              <w:t>6. Luaran</w:t>
            </w:r>
          </w:p>
        </w:tc>
        <w:tc>
          <w:tcPr>
            <w:tcW w:type="dxa" w:w="4819"/>
            <w:vAlign w:val="center"/>
          </w:tcPr>
          <w:p>
            <w:r>
              <w:t>Bagian 2.6 dan Tabel 2.1: mortalitas in-hospital, sumber, waktu, dan pengodean.</w:t>
            </w:r>
          </w:p>
        </w:tc>
      </w:tr>
      <w:tr>
        <w:tc>
          <w:tcPr>
            <w:tcW w:type="dxa" w:w="4819"/>
            <w:vAlign w:val="center"/>
          </w:tcPr>
          <w:p>
            <w:r>
              <w:t>7. Prediktor</w:t>
            </w:r>
          </w:p>
        </w:tc>
        <w:tc>
          <w:tcPr>
            <w:tcW w:type="dxa" w:w="4819"/>
            <w:vAlign w:val="center"/>
          </w:tcPr>
          <w:p>
            <w:r>
              <w:t>Bagian 2.5 dan 2.7: definisi 13 prediktor, satuan, dan waktu pengukuran.</w:t>
            </w:r>
          </w:p>
        </w:tc>
      </w:tr>
      <w:tr>
        <w:tc>
          <w:tcPr>
            <w:tcW w:type="dxa" w:w="4819"/>
            <w:vAlign w:val="center"/>
          </w:tcPr>
          <w:p>
            <w:r>
              <w:t>8. Ukuran sampel</w:t>
            </w:r>
          </w:p>
        </w:tc>
        <w:tc>
          <w:tcPr>
            <w:tcW w:type="dxa" w:w="4819"/>
            <w:vAlign w:val="center"/>
          </w:tcPr>
          <w:p>
            <w:r>
              <w:t>Bagian 2.3 dan 4.10: N=1.524, 115 kejadian, dan keterbatasan event count.</w:t>
            </w:r>
          </w:p>
        </w:tc>
      </w:tr>
      <w:tr>
        <w:tc>
          <w:tcPr>
            <w:tcW w:type="dxa" w:w="4819"/>
            <w:vAlign w:val="center"/>
          </w:tcPr>
          <w:p>
            <w:r>
              <w:t>9. Data hilang</w:t>
            </w:r>
          </w:p>
        </w:tc>
        <w:tc>
          <w:tcPr>
            <w:tcW w:type="dxa" w:w="4819"/>
            <w:vAlign w:val="center"/>
          </w:tcPr>
          <w:p>
            <w:r>
              <w:t>Bagian 2.8 sampai 2.9: median per-fold dipelajari hanya dari training fold.</w:t>
            </w:r>
          </w:p>
        </w:tc>
      </w:tr>
      <w:tr>
        <w:tc>
          <w:tcPr>
            <w:tcW w:type="dxa" w:w="4819"/>
            <w:vAlign w:val="center"/>
          </w:tcPr>
          <w:p>
            <w:r>
              <w:t>10. Pengembangan model</w:t>
            </w:r>
          </w:p>
        </w:tc>
        <w:tc>
          <w:tcPr>
            <w:tcW w:type="dxa" w:w="4819"/>
            <w:vAlign w:val="center"/>
          </w:tcPr>
          <w:p>
            <w:r>
              <w:t>Bagian 2.9: algoritma, hiperparameter, serta prosedur fitting.</w:t>
            </w:r>
          </w:p>
        </w:tc>
      </w:tr>
      <w:tr>
        <w:tc>
          <w:tcPr>
            <w:tcW w:type="dxa" w:w="4819"/>
            <w:vAlign w:val="center"/>
          </w:tcPr>
          <w:p>
            <w:r>
              <w:t>11. Validasi internal</w:t>
            </w:r>
          </w:p>
        </w:tc>
        <w:tc>
          <w:tcPr>
            <w:tcW w:type="dxa" w:w="4819"/>
            <w:vAlign w:val="center"/>
          </w:tcPr>
          <w:p>
            <w:r>
              <w:t>Bagian 2.9: 10 seed kali 5-fold StratifiedKFold dan prediksi out-of-fold.</w:t>
            </w:r>
          </w:p>
        </w:tc>
      </w:tr>
      <w:tr>
        <w:tc>
          <w:tcPr>
            <w:tcW w:type="dxa" w:w="4819"/>
            <w:vAlign w:val="center"/>
          </w:tcPr>
          <w:p>
            <w:r>
              <w:t>12. Ukuran performa</w:t>
            </w:r>
          </w:p>
        </w:tc>
        <w:tc>
          <w:tcPr>
            <w:tcW w:type="dxa" w:w="4819"/>
            <w:vAlign w:val="center"/>
          </w:tcPr>
          <w:p>
            <w:r>
              <w:t>Bagian 2.9 dan 3.2: AUC, AUPRC, Brier score, sensitivitas, spesifisitas, PPV, dan NPV.</w:t>
            </w:r>
          </w:p>
        </w:tc>
      </w:tr>
      <w:tr>
        <w:tc>
          <w:tcPr>
            <w:tcW w:type="dxa" w:w="4819"/>
            <w:vAlign w:val="center"/>
          </w:tcPr>
          <w:p>
            <w:r>
              <w:t>13. Alur dan karakteristik partisipan</w:t>
            </w:r>
          </w:p>
        </w:tc>
        <w:tc>
          <w:tcPr>
            <w:tcW w:type="dxa" w:w="4819"/>
            <w:vAlign w:val="center"/>
          </w:tcPr>
          <w:p>
            <w:r>
              <w:t>Bagian 3.1, Gambar 3.1, serta Tabel 3.1 sampai 3.2.</w:t>
            </w:r>
          </w:p>
        </w:tc>
      </w:tr>
      <w:tr>
        <w:tc>
          <w:tcPr>
            <w:tcW w:type="dxa" w:w="4819"/>
            <w:vAlign w:val="center"/>
          </w:tcPr>
          <w:p>
            <w:r>
              <w:t>14. Spesifikasi model</w:t>
            </w:r>
          </w:p>
        </w:tc>
        <w:tc>
          <w:tcPr>
            <w:tcW w:type="dxa" w:w="4819"/>
            <w:vAlign w:val="center"/>
          </w:tcPr>
          <w:p>
            <w:r>
              <w:t>Bagian 2.9 dan berkas analisis: 13 fitur, preprocessing, hiperparameter, dan seed.</w:t>
            </w:r>
          </w:p>
        </w:tc>
      </w:tr>
      <w:tr>
        <w:tc>
          <w:tcPr>
            <w:tcW w:type="dxa" w:w="4819"/>
            <w:vAlign w:val="center"/>
          </w:tcPr>
          <w:p>
            <w:r>
              <w:t>15. Hasil performa dan ketidakpastian</w:t>
            </w:r>
          </w:p>
        </w:tc>
        <w:tc>
          <w:tcPr>
            <w:tcW w:type="dxa" w:w="4819"/>
            <w:vAlign w:val="center"/>
          </w:tcPr>
          <w:p>
            <w:r>
              <w:t>Bagian 3.2 sampai 3.7: rerata, simpangan baku, IK, rentang, ambang, dan pembanding GRACE.</w:t>
            </w:r>
          </w:p>
        </w:tc>
      </w:tr>
      <w:tr>
        <w:tc>
          <w:tcPr>
            <w:tcW w:type="dxa" w:w="4819"/>
            <w:vAlign w:val="center"/>
          </w:tcPr>
          <w:p>
            <w:r>
              <w:t>16. Keterbatasan dan interpretasi</w:t>
            </w:r>
          </w:p>
        </w:tc>
        <w:tc>
          <w:tcPr>
            <w:tcW w:type="dxa" w:w="4819"/>
            <w:vAlign w:val="center"/>
          </w:tcPr>
          <w:p>
            <w:r>
              <w:t>Bagian 4.9 sampai 4.10: single-center, retrospektif, bias seleksi, missingness, dan tanpa validasi eksternal.</w:t>
            </w:r>
          </w:p>
        </w:tc>
      </w:tr>
      <w:tr>
        <w:tc>
          <w:tcPr>
            <w:tcW w:type="dxa" w:w="4819"/>
            <w:vAlign w:val="center"/>
          </w:tcPr>
          <w:p>
            <w:r>
              <w:t>17. Ketersediaan dan rencana validasi</w:t>
            </w:r>
          </w:p>
        </w:tc>
        <w:tc>
          <w:tcPr>
            <w:tcW w:type="dxa" w:w="4819"/>
            <w:vAlign w:val="center"/>
          </w:tcPr>
          <w:p>
            <w:r>
              <w:t>Bagian 5.2 dan dokumentasi analisis: reproduksi lokal, pembatasan akses data pasien, validasi eksternal prospektif, dan studi implementasi.</w:t>
            </w:r>
          </w:p>
        </w:tc>
      </w:tr>
    </w:tbl>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safety 0,018455 menghasilkan sensitivitas 98,3%, spesifisitas 26,2%, dan dua false negative.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adalah manifestasi klinis paling kritis dari penyakit jantung koroner dan masih jadi penyebab utama kematian akibat penyakit kardiovaskular di seluruh dunia. SKA mencakup spektrum dari angina tidak stabil sampai infark miokard dengan elevasi segmen ST (STEMI) dan tanpa elevasi segmen ST (NSTEMI), yang dipicu oleh iskemia jantung akut karena aliran darah koroner berkurang mendadak (Thygesen et al., 2018). Data European Society of Cardiology menunjukkan penyakit kardiovaskular masih jadi penyebab kematian nomor satu di dunia, dan SKA menyumbang bagian yang besar terhadap angka kesakitan, kematian, dan biaya perawatan kesehatan (Timmis et al., 2022). Di Indonesia, beban SKA makin berat karena faktor risiko tradisional masih tinggi dan akses ke layanan kesehatan masih terbatas.</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yang digunakan adalah data yang tercatat dalam Makassar ACS Registry dan rekam medis elektronik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Kriteria Objektif / Koding</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Dependen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Demografis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Klinis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EKG</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Laboratorium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Independen  sampai  Ekokardiografi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b/>
                <w:sz w:val="24"/>
                <w:szCs w:val="24"/>
              </w:rPr>
              <w:t>Variabel Perancu</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dataset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3.11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missingness rendah hingga sedang. Variabel dengan missingness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rPr>
          <w:rFonts w:ascii="Times New Roman" w:hAnsi="Times New Roman" w:cs="Times New Roman"/>
          <w:b w:val="0"/>
          <w:i w:val="0"/>
          <w:sz w:val="24"/>
          <w:szCs w:val="24"/>
        </w:rPr>
        <w:t>Penelitian ini melibatkan 1.524 pasien dengan diagnosis STEMI dan NSTEMI yang dirawat di Pusat Jantung Terpadu RSUP Dr. Wahidin Sudirohusodo, Makassar, periode Januari 2024 hingga Desember 2025. Data diperoleh dari Makassar ACS Registry, sebuah basis data prospektif yang mencatat secara berkesinambungan seluruh pasien SKA yang masuk melalui IGD. Dari keseluruhan data yang tercatat, dilakukan seleksi berdasarkan kriteria yang telah ditetapkan. Pasien dengan syok kardiogenik yang sudah manifes saat presentasi awal (Killip IV) tidak diikutsertakan karena model ini bertujuan memprediksi mortalitas pada pasien yang belum berada dalam keadaan syok -- sehingga bersifat prediktif, bukan diagnostik terhadap kondisi yang sudah jelas. Beberapa subjek juga tidak disertakan karena data prediktor kunci tidak dapat diekstraksi secara memadai dari rekam medis, ketidaklengkapan data yang substansial, atau pasien pulang paksa sebelum outcome dapat dievaluasi. Setelah proses seleksi yang ketat namun tetap mempertimbangkan keterbatasan data di setting klinik nyata, diperoleh 1.524 pasien yang memenuhi seluruh kriteria analisis. Dari seluruh subjek, sebanyak 115 pasien (7,5%) mengalami mortalitas in-hospital. Karakteristik dasar populasi penelitian disajikan pada Tabel 3.1.</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Jenis kelamin laki-laki , n (%)</w:t>
            </w:r>
          </w:p>
        </w:tc>
        <w:tc>
          <w:tcPr>
            <w:tcW w:type="dxa" w:w="2409"/>
          </w:tcPr>
          <w:p>
            <w:r>
              <w:t>1145 (81,3)</w:t>
            </w:r>
          </w:p>
        </w:tc>
        <w:tc>
          <w:tcPr>
            <w:tcW w:type="dxa" w:w="2409"/>
          </w:tcPr>
          <w:p>
            <w:r>
              <w:t>83 (72,2)</w:t>
            </w:r>
          </w:p>
        </w:tc>
        <w:tc>
          <w:tcPr>
            <w:tcW w:type="dxa" w:w="2409"/>
          </w:tcPr>
          <w:p>
            <w:r>
              <w:t>0,0247</w:t>
            </w:r>
          </w:p>
        </w:tc>
      </w:tr>
      <w:tr>
        <w:tc>
          <w:tcPr>
            <w:tcW w:type="dxa" w:w="2409"/>
          </w:tcPr>
          <w:p>
            <w:r>
              <w:t>Diagnosis STEMI , n (%)</w:t>
            </w:r>
          </w:p>
        </w:tc>
        <w:tc>
          <w:tcPr>
            <w:tcW w:type="dxa" w:w="2409"/>
          </w:tcPr>
          <w:p>
            <w:r>
              <w:t>975 (69,2)</w:t>
            </w:r>
          </w:p>
        </w:tc>
        <w:tc>
          <w:tcPr>
            <w:tcW w:type="dxa" w:w="2409"/>
          </w:tcPr>
          <w:p>
            <w:r>
              <w:t>72 (62,6)</w:t>
            </w:r>
          </w:p>
        </w:tc>
        <w:tc>
          <w:tcPr>
            <w:tcW w:type="dxa" w:w="2409"/>
          </w:tcPr>
          <w:p>
            <w:r>
              <w:t>0,1736</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Killip I , n (%)</w:t>
            </w:r>
          </w:p>
        </w:tc>
        <w:tc>
          <w:tcPr>
            <w:tcW w:type="dxa" w:w="2409"/>
          </w:tcPr>
          <w:p>
            <w:r>
              <w:t>927 (65,8)</w:t>
            </w:r>
          </w:p>
        </w:tc>
        <w:tc>
          <w:tcPr>
            <w:tcW w:type="dxa" w:w="2409"/>
          </w:tcPr>
          <w:p>
            <w:r>
              <w:t>41 (35,7)</w:t>
            </w:r>
          </w:p>
        </w:tc>
        <w:tc>
          <w:tcPr>
            <w:tcW w:type="dxa" w:w="2409"/>
          </w:tcPr>
          <w:p>
            <w:r/>
          </w:p>
        </w:tc>
      </w:tr>
      <w:tr>
        <w:tc>
          <w:tcPr>
            <w:tcW w:type="dxa" w:w="2409"/>
          </w:tcPr>
          <w:p>
            <w:r>
              <w:t>Killip II , n (%)</w:t>
            </w:r>
          </w:p>
        </w:tc>
        <w:tc>
          <w:tcPr>
            <w:tcW w:type="dxa" w:w="2409"/>
          </w:tcPr>
          <w:p>
            <w:r>
              <w:t>374 (26,5)</w:t>
            </w:r>
          </w:p>
        </w:tc>
        <w:tc>
          <w:tcPr>
            <w:tcW w:type="dxa" w:w="2409"/>
          </w:tcPr>
          <w:p>
            <w:r>
              <w:t>37 (32,2)</w:t>
            </w:r>
          </w:p>
        </w:tc>
        <w:tc>
          <w:tcPr>
            <w:tcW w:type="dxa" w:w="2409"/>
          </w:tcPr>
          <w:p>
            <w:r/>
          </w:p>
        </w:tc>
      </w:tr>
      <w:tr>
        <w:tc>
          <w:tcPr>
            <w:tcW w:type="dxa" w:w="2409"/>
          </w:tcPr>
          <w:p>
            <w:r>
              <w:t>Killip III , n (%)</w:t>
            </w:r>
          </w:p>
        </w:tc>
        <w:tc>
          <w:tcPr>
            <w:tcW w:type="dxa" w:w="2409"/>
          </w:tcPr>
          <w:p>
            <w:r>
              <w:t>108 (7,7)</w:t>
            </w:r>
          </w:p>
        </w:tc>
        <w:tc>
          <w:tcPr>
            <w:tcW w:type="dxa" w:w="2409"/>
          </w:tcPr>
          <w:p>
            <w:r>
              <w:t>37 (32,2)</w:t>
            </w:r>
          </w:p>
        </w:tc>
        <w:tc>
          <w:tcPr>
            <w:tcW w:type="dxa" w:w="2409"/>
          </w:tcPr>
          <w:p>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Troponin I (ng/mL)</w:t>
            </w:r>
          </w:p>
        </w:tc>
        <w:tc>
          <w:tcPr>
            <w:tcW w:type="dxa" w:w="2409"/>
          </w:tcPr>
          <w:p>
            <w:r>
              <w:t>16771,2 ± 22440,3</w:t>
            </w:r>
          </w:p>
        </w:tc>
        <w:tc>
          <w:tcPr>
            <w:tcW w:type="dxa" w:w="2409"/>
          </w:tcPr>
          <w:p>
            <w:r>
              <w:t>15142,8 ± 21999,8</w:t>
            </w:r>
          </w:p>
        </w:tc>
        <w:tc>
          <w:tcPr>
            <w:tcW w:type="dxa" w:w="2409"/>
          </w:tcPr>
          <w:p>
            <w:r>
              <w:t>0,4550</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mengalami mortalitas in-hospital memiliki usia yang lebih tua, proporsi STEMI yang lebih tinggi, dan kelas Killip yang lebih berat saat admisi. Parameter hemodinamik dan laboratorium juga menunjukkan perbedaan yang signifikan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rPr>
          <w:rFonts w:ascii="Times New Roman" w:hAnsi="Times New Roman" w:cs="Times New Roman"/>
          <w:b w:val="0"/>
          <w:i w:val="0"/>
          <w:sz w:val="24"/>
          <w:szCs w:val="24"/>
        </w:rPr>
        <w:t>Dari total 1524 pasien, sebanyak 1.047 pasien (68,7%) terdiagnosis STEMI dan 477 pasien (31,3%) terdiagnosis NSTEMI. Angka mortalitas pada kelompok STEMI adalah 6,9% (72/1.047), sedangkan pada kelompok NSTEMI adalah 9,0% (43/477). Perbedaan ini tidak signifikan secara statistik (p=0,174).</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Usia (tahun)</w:t>
            </w:r>
          </w:p>
        </w:tc>
        <w:tc>
          <w:tcPr>
            <w:tcW w:type="dxa" w:w="1856"/>
          </w:tcPr>
          <w:p>
            <w:pPr>
              <w:jc w:val="left"/>
              <w:spacing w:line="360" w:lineRule="auto"/>
            </w:pPr>
            <w:r>
              <w:rPr>
                <w:rFonts w:ascii="Times New Roman" w:hAnsi="Times New Roman" w:cs="Times New Roman"/>
                <w:sz w:val="24"/>
                <w:szCs w:val="24"/>
              </w:rPr>
              <w:t>56,2 ± 10,6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60,2 ± 11,6</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Jenis kelamin laki-laki</w:t>
            </w:r>
          </w:p>
        </w:tc>
        <w:tc>
          <w:tcPr>
            <w:tcW w:type="dxa" w:w="1856"/>
          </w:tcPr>
          <w:p>
            <w:pPr>
              <w:jc w:val="left"/>
              <w:spacing w:line="360" w:lineRule="auto"/>
            </w:pPr>
            <w:r>
              <w:rPr>
                <w:rFonts w:ascii="Times New Roman" w:hAnsi="Times New Roman" w:cs="Times New Roman"/>
                <w:sz w:val="24"/>
                <w:szCs w:val="24"/>
              </w:rPr>
              <w:t>874 (83,5%)</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354 (74,2%)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Mortalitas</w:t>
            </w:r>
          </w:p>
        </w:tc>
        <w:tc>
          <w:tcPr>
            <w:tcW w:type="dxa" w:w="1856"/>
          </w:tcPr>
          <w:p>
            <w:pPr>
              <w:jc w:val="left"/>
              <w:spacing w:line="360" w:lineRule="auto"/>
            </w:pPr>
            <w:r>
              <w:rPr>
                <w:rFonts w:ascii="Times New Roman" w:hAnsi="Times New Roman" w:cs="Times New Roman"/>
                <w:sz w:val="24"/>
                <w:szCs w:val="24"/>
              </w:rPr>
              <w:t>72 (6,9%)</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43 (9,0%)</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0,174</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Killip III</w:t>
            </w:r>
          </w:p>
        </w:tc>
        <w:tc>
          <w:tcPr>
            <w:tcW w:type="dxa" w:w="1856"/>
          </w:tcPr>
          <w:p>
            <w:pPr>
              <w:jc w:val="left"/>
              <w:spacing w:line="360" w:lineRule="auto"/>
            </w:pPr>
            <w:r>
              <w:rPr>
                <w:rFonts w:ascii="Times New Roman" w:hAnsi="Times New Roman" w:cs="Times New Roman"/>
                <w:sz w:val="24"/>
                <w:szCs w:val="24"/>
              </w:rPr>
              <w:t>53 (5,1%)</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92 (19,3%)</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LVEF (%)</w:t>
            </w:r>
          </w:p>
        </w:tc>
        <w:tc>
          <w:tcPr>
            <w:tcW w:type="dxa" w:w="1856"/>
          </w:tcPr>
          <w:p>
            <w:pPr>
              <w:jc w:val="left"/>
              <w:spacing w:line="360" w:lineRule="auto"/>
            </w:pPr>
            <w:r>
              <w:rPr>
                <w:rFonts w:ascii="Times New Roman" w:hAnsi="Times New Roman" w:cs="Times New Roman"/>
                <w:sz w:val="24"/>
                <w:szCs w:val="24"/>
              </w:rPr>
              <w:t>42,3 ± 6,4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42,7 ± 10,4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0,471</w:t>
            </w:r>
            <w:r>
              <w:rPr>
                <w:rFonts w:ascii="Times New Roman" w:hAnsi="Times New Roman" w:cs="Times New Roman"/>
                <w:sz w:val="24"/>
                <w:szCs w:val="24"/>
              </w:rPr>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eGFR (mL/menit/1,73m²)</w:t>
            </w:r>
          </w:p>
        </w:tc>
        <w:tc>
          <w:tcPr>
            <w:tcW w:type="dxa" w:w="1856"/>
          </w:tcPr>
          <w:p>
            <w:pPr>
              <w:jc w:val="left"/>
              <w:spacing w:line="360" w:lineRule="auto"/>
            </w:pPr>
            <w:r>
              <w:rPr>
                <w:rFonts w:ascii="Times New Roman" w:hAnsi="Times New Roman" w:cs="Times New Roman"/>
                <w:sz w:val="24"/>
                <w:szCs w:val="24"/>
              </w:rPr>
              <w:t>85,0 ± 25,2</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73,7 ± 29,4</w:t>
            </w:r>
            <w:r>
              <w:rPr>
                <w:rFonts w:ascii="Times New Roman" w:hAnsi="Times New Roman" w:cs="Times New Roman"/>
                <w:sz w:val="24"/>
                <w:szCs w:val="24"/>
              </w:rPr>
            </w:r>
          </w:p>
        </w:tc>
        <w:tc>
          <w:tcPr>
            <w:tcW w:type="dxa" w:w="1856"/>
          </w:tcPr>
          <w:p>
            <w:pPr>
              <w:jc w:val="left"/>
              <w:spacing w:line="360" w:lineRule="auto"/>
            </w:pPr>
            <w:r>
              <w:rPr>
                <w:rFonts w:ascii="Times New Roman" w:hAnsi="Times New Roman" w:cs="Times New Roman"/>
                <w:sz w:val="24"/>
                <w:szCs w:val="24"/>
              </w:rPr>
              <w:t>&lt;0,001</w:t>
            </w:r>
            <w:r>
              <w:rPr>
                <w:rFonts w:ascii="Times New Roman" w:hAnsi="Times New Roman" w:cs="Times New Roman"/>
                <w:sz w:val="24"/>
                <w:szCs w:val="24"/>
              </w:rPr>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Pasien STEMI cenderung lebih muda, didominasi laki-laki, namun memiliki angka mortalitas yang lebih tinggi dibandingkan pasien NSTEMI. Hal ini konsisten dengan literatur yang menunjukkan bahwa STEMI memiliki risiko komplikasi hemodinamik yang lebih besar akibat luasnya area miokardium yang mengalami infark transmural.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pPr>
        <w:spacing w:lineRule="auto" w:line="360"/>
        <w:ind w:firstLine="720"/>
        <w:jc w:val="both"/>
      </w:pPr>
      <w:r>
        <w:rPr>
          <w:rFonts w:ascii="Times New Roman" w:hAnsi="Times New Roman" w:cs="Times New Roman"/>
          <w:b w:val="0"/>
          <w:i w:val="0"/>
          <w:sz w:val="24"/>
          <w:szCs w:val="24"/>
        </w:rPr>
        <w:t>Model Random Forest menunjukkan performa diskriminasi yang baik dengan nilai AUC (Area Under the Curve) sebesar 0,818 (rentang antar seed 0,814-0,824) untuk luaran mortalitas. Nilai ini diperoleh dari validasi multi-seed sebanyak 10 kali pengulangan dengan seed yang berbeda-beda, menghasilkan rata-rata AUC 0,818 dengan standar deviasi 0,003. Rentang AUC berkisar antara 0,814 hingga 0,824, menunjukkan konsistensi dan stabilitas model yang sangat baik.</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spacing w:lineRule="auto" w:line="360"/>
        <w:ind w:firstLine="720"/>
        <w:jc w:val="both"/>
      </w:pPr>
      <w:r>
        <w:rPr>
          <w:rFonts w:ascii="Times New Roman" w:hAnsi="Times New Roman" w:cs="Times New Roman"/>
          <w:b w:val="0"/>
          <w:i w:val="0"/>
          <w:sz w:val="24"/>
          <w:szCs w:val="24"/>
        </w:rPr>
        <w:t>Kurva ROC pada Gambar 3.1 menunjukkan performa diskriminasi model di berbagai ambang batas klasifikasi. Area di bawah kurva (AUC) sebesar 0,818 mengindikasikan kemampuan model yang baik dalam membedakan pasien yang akan mengalami mortalitas dari yang tidak. Kurva yang mendekati sudut kiri atas menunjukkan performa yang mendekati ideal.</w:t>
      </w:r>
    </w:p>
    <w:p>
      <w:pPr>
        <w:spacing w:lineRule="auto" w:line="360"/>
        <w:jc w:val="both"/>
      </w:pPr>
      <w:r>
        <w:rPr>
          <w:rFonts w:ascii="Times New Roman" w:hAnsi="Times New Roman" w:cs="Times New Roman"/>
          <w:b/>
          <w:i w:val="0"/>
          <w:sz w:val="24"/>
          <w:szCs w:val="24"/>
        </w:rPr>
        <w:t>3.2.2 Pemilihan Ambang Batas Optimal</w:t>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safety 0,018455 dipilih untuk membatasi false negative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spacing w:lineRule="auto" w:line="360"/>
        <w:jc w:val="both"/>
      </w:pPr>
      <w:r>
        <w:rPr>
          <w:rFonts w:ascii="Times New Roman" w:hAnsi="Times New Roman" w:cs="Times New Roman"/>
          <w:b/>
          <w:i w:val="0"/>
          <w:sz w:val="24"/>
          <w:szCs w:val="24"/>
        </w:rPr>
        <w:t>3.2.3 Analisis Matriks Konfusi</w:t>
      </w:r>
    </w:p>
    <w:p>
      <w:pPr>
        <w:spacing w:lineRule="auto" w:line="360"/>
        <w:ind w:firstLine="720"/>
        <w:jc w:val="both"/>
      </w:pPr>
      <w:r>
        <w:t>Matriks konfusi ambang safety disusun dari prediksi out-of-fold rerata seluruh 1.524 pasien. Model mengidentifikasi 113 dari 115 kematian (sensitivitas 98,3%) dan 369 dari 1.409 pasien hidup (spesifisitas 26,2%). Terdapat 2 false negative dan 1.040 false positive; total pasien yang terflag adalah 1.153. Hasil ini menggambarkan trade-off internal dan bukan jaminan keamanan klinis.</w:t>
      </w:r>
    </w:p>
    <w:p>
      <w:pPr>
        <w:spacing w:lineRule="auto" w:line="360" w:before="60" w:after="120"/>
        <w:jc w:val="center"/>
      </w:pPr>
      <w:r>
        <w:t>Gambar 3.3 Matriks Konfusi Model Random Forest pada Ambang Batas Safety 0,018455</w:t>
      </w:r>
    </w:p>
    <w:p>
      <w:pPr>
        <w:spacing w:lineRule="auto" w:line="360"/>
        <w:jc w:val="both"/>
      </w:pPr>
      <w:r>
        <w:rPr>
          <w:rFonts w:ascii="Times New Roman" w:hAnsi="Times New Roman" w:cs="Times New Roman"/>
          <w:b/>
          <w:i w:val="0"/>
          <w:sz w:val="24"/>
          <w:szCs w:val="24"/>
        </w:rPr>
        <w:t>3.2.4 Analisis Kalibrasi</w:t>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spacing w:lineRule="auto" w:line="360"/>
        <w:ind w:firstLine="720"/>
        <w:jc w:val="both"/>
      </w:pPr>
      <w:r>
        <w:t>Gambar 3.4 menunjukkan kurva kalibrasi model tanpa koreksi Platt scaling (raw out-of-fold predictions).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false positive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pPr>
        <w:spacing w:lineRule="auto" w:line="360"/>
        <w:ind w:firstLine="720"/>
        <w:jc w:val="both"/>
      </w:pPr>
      <w:r>
        <w:t>Mengingat ketidakseimbangan kelas (class imbalance) pada dataset (hanya 7,5% mortalitas), Precision-Recall Curve (PRC) memberikan evaluasi yang lebih informatif dibandingkan ROC. Area Under Precision-Recall Curve (AUPRC) model adalah 0,301, yang menunjukkan performa yang baik dalam mengidentifikasi kelas minoritas (mortalitas).</w:t>
      </w:r>
    </w:p>
    <w:p>
      <w:pPr>
        <w:spacing w:lineRule="auto" w:line="360" w:before="60" w:after="120"/>
        <w:jc w:val="center"/>
      </w:pPr>
      <w:r>
        <w:rPr>
          <w:rFonts w:ascii="Times New Roman" w:hAnsi="Times New Roman" w:cs="Times New Roman"/>
          <w:b/>
          <w:sz w:val="24"/>
          <w:szCs w:val="24"/>
        </w:rPr>
        <w:t>Gambar 3.6 Precision-Recall Curve Model Random Forest</w:t>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feature importance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pPr>
        <w:spacing w:lineRule="auto" w:line="360"/>
        <w:ind w:firstLine="720"/>
        <w:jc w:val="both"/>
      </w:pPr>
      <w:r>
        <w:t>Berdasarkan probabilitas prediksi dari model Random Forest, dikembangkan sistem triase bertingkat tiga tingkat untuk stratifikasi risiko pasien di IGD: tingkat pertama (risiko rendah) dengan probabilitas &lt;0,018455 direkomendasikan untuk rawat inap lantai dasar (ward), tingkat kedua (risiko sedang) dengan probabilitas 0,018455 sampai 0,103981 direkomendasikan untuk perawatan High Care Unit (HCU), dan tingkat ketiga (risiko tinggi) dengan probabilitas ≥0,103981 direkomendasikan untuk perawatan intensif (ICU).</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spacing w:lineRule="auto" w:line="360" w:before="120" w:after="60"/>
        <w:jc w:val="left"/>
      </w:pPr>
      <w:r>
        <w:rPr>
          <w:rFonts w:ascii="Times New Roman" w:hAnsi="Times New Roman" w:cs="Times New Roman"/>
          <w:b/>
          <w:i w:val="0"/>
          <w:sz w:val="24"/>
          <w:szCs w:val="24"/>
        </w:rPr>
        <w:t>3.5 Performa Model untuk Berbagai Luaran</w:t>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0,670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4,8%</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spacing w:lineRule="auto" w:line="360"/>
        <w:ind w:firstLine="720"/>
        <w:jc w:val="both"/>
      </w:pPr>
      <w:r>
        <w:rPr>
          <w:rFonts w:ascii="Times New Roman" w:hAnsi="Times New Roman" w:cs="Times New Roman"/>
          <w:b w:val="0"/>
          <w:i w:val="0"/>
          <w:sz w:val="24"/>
          <w:szCs w:val="24"/>
        </w:rPr>
        <w:t>Model menunjukkan AUC 0,819 untuk mortalitas, 0,742 untuk luaran komposit, dan 0,670 untuk syok kardiogenik baru.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dataset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(threshold safety)</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(threshold safety)</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Waktu Training (detik)</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feature importance.</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false negative.</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dataset yang sedang, 1.524 pasien dengan 115 kematian, mendukung pemilihan model yang relatif parsimonious. Random Forest menangkap interaksi tanpa transformasi eksplisit dan memberikan performa internal yang lebih baik daripada pembanding XGBoost. Namun, pemilihan algoritma tetap dapat dipengaruhi oleh ruang hiperparameter dan prosedur tuning; tanpa nested cross-validation,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dataset.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Studi tersebut hanya menggunakan variabel klinis dan laboratorium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deep learning untuk prediksi mortalitas pada pasien SKA dan melaporkan AUC 0,810, yang sebanding dengan model Random Forest kami. Namun, model deep learning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feature importance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luaran syok kardiogenik baru (AUC 0,670) lebih rendah dibandingkan mortalitas (AUC 0,818). Beberapa faktor dapat menjelaskan keterbatasan ini. Pertama, definisi dan pencatatan SKG dalam rekam medis mungkin tidak seragam, mengingat sifat retrospektif penelitian ini. Kedua, terdapat kemungkinan bahwa sebagian pasien yang diklasifikasikan sebagai SKG baru sebenarnya sudah dalam fase awal SKG saat admisi namun belum terdokumentasi secara lengkap. Ketiga, jumlah kejadian SKG yang lebih kecil (sekitar 4,8%) membatasi kekuatan statistik untuk mendeteksi pola prediktif yang konsisten.</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SKG) menunjukkan AUC 0,750, yang berada di antara performa untuk mortalitas (0,818) dan SKG (0,670). Hal ini mencerminkan bahwa luaran komposit menggabungkan dua entitas dengan karakteristik prediktif yang berbeda. Mortalitas yang lebih mudah diprediksi meningkatkan AUC komposit, sementara SKG yang lebih sulit diprediksi menurunkannya.</w:t>
      </w:r>
    </w:p>
    <w:p>
      <w:pPr>
        <w:spacing w:lineRule="auto" w:line="360"/>
        <w:ind w:firstLine="720"/>
        <w:jc w:val="both"/>
      </w:pPr>
      <w:r>
        <w:rPr>
          <w:rFonts w:ascii="Times New Roman" w:hAnsi="Times New Roman" w:cs="Times New Roman"/>
          <w:b w:val="0"/>
          <w:i w:val="0"/>
          <w:sz w:val="24"/>
          <w:szCs w:val="24"/>
        </w:rPr>
        <w:t>Dari perspektif klinis, penggunaan luaran komposit dalam penelitian prediksi memiliki kelebihan dan kekurangan. Kelebihannya adalah meningkatkan jumlah events dan kekuatan statistik. Kekurangannya adalah interpretasi klinis yang lebih kompleks, karena komponen komposit mungkin memiliki implikasi tatalaksana yang berbeda. Dalam konteks IGD, prediksi mortalitas mungkin lebih relevan secara klinis karena membutuhkan tindakan yang lebih segera dan agresif dibandingkan prediksi SKG saja.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single-center.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events yang terbatas (115 mortalitas). Meskipun memadai untuk pengembangan model dengan 13 fitur (10 events per variable),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(missing data) pada beberapa variabel. Meskipun teknik imputasi telah digunakan, data hilang tetap dapat menimbulkan bias, terutama jika mekanisme missing data tidak completely at random (MCAR). Variabel dengan missingness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Effect of treatment paradox. Pasien yang diidentifikasi sebagai risiko tinggi mungkin menerima tatalaksana yang lebih agresif, yang dapat mengubah luaran aktual dan menciptakan bias yang dikenal sebagai treatment paradox.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(class imbalance). Proporsi mortalitas 7,5% menyebabkan dataset tidak seimbang, yang dapat mempengaruhi performa model, terutama pada metrik seperti precision.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deep learning, model ensemble dari 500 pohon tetap sulit dijelaskan secara individual. Analisis feature importance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(3) model fairness analysis (performa pada subkelompok berdasarkan jenis kelamin, usia, dan komorbiditas) perlu dilaporkan lebih detail. Penelitian lanjutan direncanakan untuk mengatasi keterbatasan ini.</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Variabel prediktor yang signifikan untuk mortalitas in-hospital pada pasien STEMI dan NSTEMI meliputi parameter fungsi ginjal (eGFR, ureum), hemodinamik ekokardiografi (LVOT VTI), parameter darah (hemoglobin, APTT, kalium), karakteristik demografis (usia), fungsi ventrikel (LVEF, TAPSE), status hemodinamik (tekanan darah sistolik, heart rate, respiratory rate), dan klasifikasi klinis (Killip class). eGFR dan ureum merupakan dua prediktor paling dominan, mengonfirmasi peran kritis fungsi ginjal sebagai penanda hipoperfusi organ.</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false negative.</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luaran mortalitas (AUC 0,818) lebih baik dibandingkan untuk luaran syok kardiogenik baru (AUC 0,670) dan luaran komposit (AUC 0,742), menunjukkan bahwa prediksi mortalitas lebih dapat diandalkan dibandingkan prediksi kejadian spesifik SKG dalam desain penelitian ini.</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setting klinis real-time.</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alert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pp.3720-3361.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sampai  Cardiovascular Imaging*, 16(3), pp.233-271. https://doi.org/10.1093/ehjci/jev014.</w:t>
      </w:r>
    </w:p>
    <w:p>
      <w:pPr>
        <w:spacing w:after="60" w:line="360" w:lineRule="auto"/>
        <w:ind w:firstLine="709"/>
        <w:jc w:val="both"/>
      </w:pPr>
      <w:r>
        <w:t>Libby, P., 2021. Inflammation in Atherosclerosis,No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 Id="rId3" Type="http://schemas.openxmlformats.org/officeDocument/2006/relationships/image" Target="media/image4.png"/><Relationship Id="rId4" Type="http://schemas.openxmlformats.org/officeDocument/2006/relationships/image" Target="media/image5.png"/><Relationship Id="rId5" Type="http://schemas.openxmlformats.org/officeDocument/2006/relationships/image" Target="media/image6.png"/><Relationship Id="rId6" Type="http://schemas.openxmlformats.org/officeDocument/2006/relationships/image" Target="media/image7.png"/><Relationship Id="rId7" Type="http://schemas.openxmlformats.org/officeDocument/2006/relationships/image" Target="media/image8.png"/><Relationship Id="rId8" Type="http://schemas.openxmlformats.org/officeDocument/2006/relationships/image" Target="media/image9.png"/><Relationship Id="rId9" Type="http://schemas.openxmlformats.org/officeDocument/2006/relationships/image" Target="media/image10.png"/><Relationship Id="rId10" Type="http://schemas.openxmlformats.org/officeDocument/2006/relationships/image" Target="media/image11.png"/><Relationship Id="rId11" Type="http://schemas.openxmlformats.org/officeDocument/2006/relationships/image" Target="media/image12.png"/><Relationship Id="rId12" Type="http://schemas.openxmlformats.org/officeDocument/2006/relationships/image" Target="media/image1.png"/><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