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Admission-Time Risk Stratification for In-Hospital Mortality in Acute Coronary Syndrome</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3402</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The threshold flagged 691 patients and captured 173 deaths. HIGH, INTERMEDIATE, and LOW tiers had 87, 71, and 15 deaths, with PPV 50.6%, 20.6%, and 8.6%. HIGH plus INTERMEDIATE escalation had sensitivity 75.6%, specificity 77.7%, PPV 30.6%, and NPV 96.1%. The model AUC was 0.842 and GRACE 2.0 AUC was 0.816 on the same cohort. Calibration slope was 1.088, calibration-in-the-large 0.017, O:E 1.015, and ECE 0.018.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guidelines emphasize risk assessment, hemodynamic status, renal function, and clinical instability when planning monitoring and invasive management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single-stage random forest triage model using 12 pre-specified routine admission variables [6].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local ethics process approved use of the de-identified registry with no direct patient contact. Reporting follows TRIPOD+AI guidance for prediction models that use regression or machine learning methods [10].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there were 279 Killip IV patients, 422 patients with cardiogenic shock, 278 with shock on arrival, 278 with both flags, 144 with cardiogenic shock without shock on arrival, and no patient with shock on arrival without cardiogenic shock.</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variable can be recorded after admission, while shock on arrival is an admission-time clinical state. Therefore, shock on arrival could inform presentation status, but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eGFR had the highest missingness at 6.7%. Complete data for all 12 model variables were present in 1,648 patients (90.7%), while any missingness among the 12 variables occurred in 169 patients (9.3%).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14.4.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164 additional false positives, with escalated patients rising from 321 to 517.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used logistic calibration slope, calibration-in-the-large, observed-to-expected ratio, and equal-frequency 10-bin ECE [7,11]. AUCs were compared with the DeLong method for correlated ROC curves [9].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The shock cross-tabs showed clinically important timing differences. Death rates were 37.1% among patients with shock on arrival, 43.6% among patients with cardiogenic shock, and 56.2% among the 144 patients who had cardiogenic shock without shock on arrival. That last group is the reason cardiogenic shock was excluded from the main model: it identifies a very high-risk state, but not always one known at the admission decision point.</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eGFR had the highest missingness at 6.7%, followed by urea and random glucose. Complete data for all 12 model variables were present in 1,648 patients (90.7%), and 169 patients (9.3%)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Stage 1 flagged 691 patients. This group included 173 deaths and 518 survivors, giving sensitivity 82.8%, specificity 67.8%, PPV 25.0%, and NPV 96.8%. The pooled out-of-fold AUC was 0.842 and the Brier score was 0.080.</w:t>
      </w:r>
    </w:p>
    <w:p>
      <w:pPr>
        <w:spacing w:line="360" w:lineRule="auto"/>
      </w:pPr>
      <w:r>
        <w:rPr>
          <w:rFonts w:ascii="Times New Roman" w:hAnsi="Times New Roman"/>
          <w:sz w:val="24"/>
        </w:rPr>
        <w:t>GRACE 2.0 AUC on the same cohort was 0.816. The AUC difference was 0.025, with DeLong p = 0.026 and 95% CI 0.003 to 0.048.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1.088, calibration-in-the-large was 0.017, O:E ratio was 1.015, and ECE was 0.018.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172 patients, 87 deaths, and PPV 50.6%. The INTERMEDIATE tier included 345 patients, 71 deaths, and PPV 20.6%. The LOW tier included 174 patients, 15 deaths, and PPV 8.6%. HIGH plus INTERMEDIATE contained 158 deaths, equal to 91.3% of flagged deaths.</w:t>
      </w:r>
    </w:p>
    <w:p>
      <w:pPr>
        <w:spacing w:line="360" w:lineRule="auto"/>
      </w:pPr>
      <w:r>
        <w:rPr>
          <w:rFonts w:ascii="Times New Roman" w:hAnsi="Times New Roman"/>
          <w:sz w:val="24"/>
        </w:rPr>
        <w:t>For the full triage system, 517 patients were escalated, equal to 28.5% of the cohort. The confusion matrix was TP 158, FP 359, FN 51, and TN 1,249, summing to 1,817 patients. Overall sensitivity was 75.6% (158/209), specificity 77.7%, accuracy 77.4%, PPV 30.6%, and NPV 96.1%. Missed deaths were 51 of 209 (24.4%): 36 patients were not flagged at Stage 1 and 15 were flagged but placed in the LOW tier. The 91.3% figure is secondary and uses a different denominator, 158 of 173 flagged deaths.</w:t>
      </w:r>
    </w:p>
    <w:p>
      <w:pPr>
        <w:spacing w:line="360" w:lineRule="auto"/>
      </w:pPr>
      <w:r>
        <w:rPr>
          <w:rFonts w:ascii="Times New Roman" w:hAnsi="Times New Roman"/>
          <w:sz w:val="24"/>
        </w:rPr>
        <w:t>The threshold trade-off followed the expected pattern. At the Youden reference threshold of 0.1513, sensitivity was 60.3%, false positives were 195, and 321 patients were escalated. At 0.10, sensitivity was 69.9%, false positives were 298, and 444 patients were escalated. At 0.08, sensitivity was 75.6%, false positives were 359, and 517 patients were escalated. At 0.05, sensitivity rose to 82.8%, but false positives increased to 509 and escalated patients to 682. The selected 0.08 threshold therefore retained a safety margin without escalating more than one third of the cohort.</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90.9%, HIGH-tier PPV to 62.0%, and AUC to 0.938. Cardiogenic shock was not used in the main model to avoid look-ahead bias; including it inflates apparent performance. The mechanism is visible in the registry timing: 144 of 422 patients with cardiogenic shock had no shock flag on arrival, and their mortality was 56.2%.</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38.0% of patients at Stage 1 and captured 173 of 209 deaths. After the fixed 25/50/25 tier split, HIGH plus INTERMEDIATE escalation identified 158 deaths, giving overall sensitivity 75.6% and NPV 96.1%. The HIGH tier was clinically enriched, with 87 deaths among 172 patients and PPV 50.6%.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Fifteen flagged patients in the LOW tier died, and 36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0.842 compared with GRACE 2.0 AUC 0.816 on the same cohort, with an AUC difference of 0.025 and DeLong p = 0.026.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90.9% and AUC to 0.938, which looks attractive until the timing of the variable is considered. Cardiogenic shock can be recorded after admission, and 144 patients with cardiogenic shock had no shock flag on arrival.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14.4.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 single-stage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82.2 (27.0)</w:t>
            </w:r>
          </w:p>
        </w:tc>
        <w:tc>
          <w:tcPr>
            <w:tcW w:type="dxa" w:w="2268"/>
          </w:tcPr>
          <w:p>
            <w:pPr>
              <w:spacing w:line="360" w:lineRule="auto"/>
            </w:pPr>
            <w:r>
              <w:rPr>
                <w:rFonts w:ascii="Times New Roman" w:hAnsi="Times New Roman"/>
                <w:sz w:val="24"/>
              </w:rPr>
              <w:t>53.2 (28.2)</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0.842</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0.025</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0.026</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1.088</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172</w:t>
            </w:r>
          </w:p>
        </w:tc>
        <w:tc>
          <w:tcPr>
            <w:tcW w:type="dxa" w:w="2268"/>
          </w:tcPr>
          <w:p>
            <w:pPr>
              <w:spacing w:line="360" w:lineRule="auto"/>
            </w:pPr>
            <w:r>
              <w:rPr>
                <w:rFonts w:ascii="Times New Roman" w:hAnsi="Times New Roman"/>
                <w:sz w:val="24"/>
              </w:rPr>
              <w:t>87</w:t>
            </w:r>
          </w:p>
        </w:tc>
        <w:tc>
          <w:tcPr>
            <w:tcW w:type="dxa" w:w="2268"/>
          </w:tcPr>
          <w:p>
            <w:pPr>
              <w:spacing w:line="360" w:lineRule="auto"/>
            </w:pPr>
            <w:r>
              <w:rPr>
                <w:rFonts w:ascii="Times New Roman" w:hAnsi="Times New Roman"/>
                <w:sz w:val="24"/>
              </w:rPr>
              <w:t>50.6%</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345</w:t>
            </w:r>
          </w:p>
        </w:tc>
        <w:tc>
          <w:tcPr>
            <w:tcW w:type="dxa" w:w="2268"/>
          </w:tcPr>
          <w:p>
            <w:pPr>
              <w:spacing w:line="360" w:lineRule="auto"/>
            </w:pPr>
            <w:r>
              <w:rPr>
                <w:rFonts w:ascii="Times New Roman" w:hAnsi="Times New Roman"/>
                <w:sz w:val="24"/>
              </w:rPr>
              <w:t>71</w:t>
            </w:r>
          </w:p>
        </w:tc>
        <w:tc>
          <w:tcPr>
            <w:tcW w:type="dxa" w:w="2268"/>
          </w:tcPr>
          <w:p>
            <w:pPr>
              <w:spacing w:line="360" w:lineRule="auto"/>
            </w:pPr>
            <w:r>
              <w:rPr>
                <w:rFonts w:ascii="Times New Roman" w:hAnsi="Times New Roman"/>
                <w:sz w:val="24"/>
              </w:rPr>
              <w:t>20.6%</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174</w:t>
            </w:r>
          </w:p>
        </w:tc>
        <w:tc>
          <w:tcPr>
            <w:tcW w:type="dxa" w:w="2268"/>
          </w:tcPr>
          <w:p>
            <w:pPr>
              <w:spacing w:line="360" w:lineRule="auto"/>
            </w:pPr>
            <w:r>
              <w:rPr>
                <w:rFonts w:ascii="Times New Roman" w:hAnsi="Times New Roman"/>
                <w:sz w:val="24"/>
              </w:rPr>
              <w:t>15</w:t>
            </w:r>
          </w:p>
        </w:tc>
        <w:tc>
          <w:tcPr>
            <w:tcW w:type="dxa" w:w="2268"/>
          </w:tcPr>
          <w:p>
            <w:pPr>
              <w:spacing w:line="360" w:lineRule="auto"/>
            </w:pPr>
            <w:r>
              <w:rPr>
                <w:rFonts w:ascii="Times New Roman" w:hAnsi="Times New Roman"/>
                <w:sz w:val="24"/>
              </w:rPr>
              <w:t>8.6%</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1126</w:t>
            </w:r>
          </w:p>
        </w:tc>
        <w:tc>
          <w:tcPr>
            <w:tcW w:type="dxa" w:w="2268"/>
          </w:tcPr>
          <w:p>
            <w:pPr>
              <w:spacing w:line="360" w:lineRule="auto"/>
            </w:pPr>
            <w:r>
              <w:rPr>
                <w:rFonts w:ascii="Times New Roman" w:hAnsi="Times New Roman"/>
                <w:sz w:val="24"/>
              </w:rPr>
              <w:t>36</w:t>
            </w:r>
          </w:p>
        </w:tc>
        <w:tc>
          <w:tcPr>
            <w:tcW w:type="dxa" w:w="2268"/>
          </w:tcPr>
          <w:p>
            <w:pPr>
              <w:spacing w:line="360" w:lineRule="auto"/>
            </w:pPr>
            <w:r>
              <w:rPr>
                <w:rFonts w:ascii="Times New Roman" w:hAnsi="Times New Roman"/>
                <w:sz w:val="24"/>
              </w:rPr>
              <w:t>3.2%</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122</w:t>
            </w:r>
          </w:p>
        </w:tc>
        <w:tc>
          <w:tcPr>
            <w:tcW w:type="dxa" w:w="3024"/>
          </w:tcPr>
          <w:p>
            <w:pPr>
              <w:spacing w:line="360" w:lineRule="auto"/>
            </w:pPr>
            <w:r>
              <w:rPr>
                <w:rFonts w:ascii="Times New Roman" w:hAnsi="Times New Roman"/>
                <w:sz w:val="24"/>
              </w:rPr>
              <w:t>6.7%</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195</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429</w:t>
            </w:r>
          </w:p>
        </w:tc>
        <w:tc>
          <w:tcPr>
            <w:tcW w:type="dxa" w:w="1134"/>
          </w:tcPr>
          <w:p>
            <w:pPr>
              <w:spacing w:line="360" w:lineRule="auto"/>
            </w:pPr>
            <w:r>
              <w:rPr>
                <w:rFonts w:ascii="Times New Roman" w:hAnsi="Times New Roman"/>
                <w:sz w:val="24"/>
              </w:rPr>
              <w:t>321</w:t>
            </w:r>
          </w:p>
        </w:tc>
        <w:tc>
          <w:tcPr>
            <w:tcW w:type="dxa" w:w="1134"/>
          </w:tcPr>
          <w:p>
            <w:pPr>
              <w:spacing w:line="360" w:lineRule="auto"/>
            </w:pPr>
            <w:r>
              <w:rPr>
                <w:rFonts w:ascii="Times New Roman" w:hAnsi="Times New Roman"/>
                <w:sz w:val="24"/>
              </w:rPr>
              <w:t>39.3%</w:t>
            </w:r>
          </w:p>
        </w:tc>
        <w:tc>
          <w:tcPr>
            <w:tcW w:type="dxa" w:w="1134"/>
          </w:tcPr>
          <w:p>
            <w:pPr>
              <w:spacing w:line="360" w:lineRule="auto"/>
            </w:pPr>
            <w:r>
              <w:rPr>
                <w:rFonts w:ascii="Times New Roman" w:hAnsi="Times New Roman"/>
                <w:sz w:val="24"/>
              </w:rPr>
              <w:t>87.9%</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298</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593</w:t>
            </w:r>
          </w:p>
        </w:tc>
        <w:tc>
          <w:tcPr>
            <w:tcW w:type="dxa" w:w="1134"/>
          </w:tcPr>
          <w:p>
            <w:pPr>
              <w:spacing w:line="360" w:lineRule="auto"/>
            </w:pPr>
            <w:r>
              <w:rPr>
                <w:rFonts w:ascii="Times New Roman" w:hAnsi="Times New Roman"/>
                <w:sz w:val="24"/>
              </w:rPr>
              <w:t>444</w:t>
            </w:r>
          </w:p>
        </w:tc>
        <w:tc>
          <w:tcPr>
            <w:tcW w:type="dxa" w:w="1134"/>
          </w:tcPr>
          <w:p>
            <w:pPr>
              <w:spacing w:line="360" w:lineRule="auto"/>
            </w:pPr>
            <w:r>
              <w:rPr>
                <w:rFonts w:ascii="Times New Roman" w:hAnsi="Times New Roman"/>
                <w:sz w:val="24"/>
              </w:rPr>
              <w:t>32.9%</w:t>
            </w:r>
          </w:p>
        </w:tc>
        <w:tc>
          <w:tcPr>
            <w:tcW w:type="dxa" w:w="1134"/>
          </w:tcPr>
          <w:p>
            <w:pPr>
              <w:spacing w:line="360" w:lineRule="auto"/>
            </w:pPr>
            <w:r>
              <w:rPr>
                <w:rFonts w:ascii="Times New Roman" w:hAnsi="Times New Roman"/>
                <w:sz w:val="24"/>
              </w:rPr>
              <w:t>81.5%</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359</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691</w:t>
            </w:r>
          </w:p>
        </w:tc>
        <w:tc>
          <w:tcPr>
            <w:tcW w:type="dxa" w:w="1134"/>
          </w:tcPr>
          <w:p>
            <w:pPr>
              <w:spacing w:line="360" w:lineRule="auto"/>
            </w:pPr>
            <w:r>
              <w:rPr>
                <w:rFonts w:ascii="Times New Roman" w:hAnsi="Times New Roman"/>
                <w:sz w:val="24"/>
              </w:rPr>
              <w:t>517</w:t>
            </w:r>
          </w:p>
        </w:tc>
        <w:tc>
          <w:tcPr>
            <w:tcW w:type="dxa" w:w="1134"/>
          </w:tcPr>
          <w:p>
            <w:pPr>
              <w:spacing w:line="360" w:lineRule="auto"/>
            </w:pPr>
            <w:r>
              <w:rPr>
                <w:rFonts w:ascii="Times New Roman" w:hAnsi="Times New Roman"/>
                <w:sz w:val="24"/>
              </w:rPr>
              <w:t>30.6%</w:t>
            </w:r>
          </w:p>
        </w:tc>
        <w:tc>
          <w:tcPr>
            <w:tcW w:type="dxa" w:w="1134"/>
          </w:tcPr>
          <w:p>
            <w:pPr>
              <w:spacing w:line="360" w:lineRule="auto"/>
            </w:pPr>
            <w:r>
              <w:rPr>
                <w:rFonts w:ascii="Times New Roman" w:hAnsi="Times New Roman"/>
                <w:sz w:val="24"/>
              </w:rPr>
              <w:t>77.7%</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82.8%</w:t>
            </w:r>
          </w:p>
        </w:tc>
        <w:tc>
          <w:tcPr>
            <w:tcW w:type="dxa" w:w="1134"/>
          </w:tcPr>
          <w:p>
            <w:pPr>
              <w:spacing w:line="360" w:lineRule="auto"/>
            </w:pPr>
            <w:r>
              <w:rPr>
                <w:rFonts w:ascii="Times New Roman" w:hAnsi="Times New Roman"/>
                <w:sz w:val="24"/>
              </w:rPr>
              <w:t>509</w:t>
            </w:r>
          </w:p>
        </w:tc>
        <w:tc>
          <w:tcPr>
            <w:tcW w:type="dxa" w:w="1134"/>
          </w:tcPr>
          <w:p>
            <w:pPr>
              <w:spacing w:line="360" w:lineRule="auto"/>
            </w:pPr>
            <w:r>
              <w:rPr>
                <w:rFonts w:ascii="Times New Roman" w:hAnsi="Times New Roman"/>
                <w:sz w:val="24"/>
              </w:rPr>
              <w:t>36</w:t>
            </w:r>
          </w:p>
        </w:tc>
        <w:tc>
          <w:tcPr>
            <w:tcW w:type="dxa" w:w="1134"/>
          </w:tcPr>
          <w:p>
            <w:pPr>
              <w:spacing w:line="360" w:lineRule="auto"/>
            </w:pPr>
            <w:r>
              <w:rPr>
                <w:rFonts w:ascii="Times New Roman" w:hAnsi="Times New Roman"/>
                <w:sz w:val="24"/>
              </w:rPr>
              <w:t>911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25.4%</w:t>
            </w:r>
          </w:p>
        </w:tc>
        <w:tc>
          <w:tcPr>
            <w:tcW w:type="dxa" w:w="1134"/>
          </w:tcPr>
          <w:p>
            <w:pPr>
              <w:spacing w:line="360" w:lineRule="auto"/>
            </w:pPr>
            <w:r>
              <w:rPr>
                <w:rFonts w:ascii="Times New Roman" w:hAnsi="Times New Roman"/>
                <w:sz w:val="24"/>
              </w:rPr>
              <w:t>68.3%</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w:t>
      </w:r>
    </w:p>
    <w:p>
      <w:pPr>
        <w:spacing w:line="360" w:lineRule="auto"/>
      </w:pPr>
      <w:r>
        <w:rPr>
          <w:rFonts w:ascii="Times New Roman" w:hAnsi="Times New Roman"/>
          <w:sz w:val="24"/>
        </w:rPr>
        <w:t>2. Byrne RA, Rossello X, Coughlan JJ, et al. 2023 ESC Guidelines for the management of acute coronary syndromes. Eur Heart J. 2023;44:3720-3826.</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w:t>
      </w:r>
    </w:p>
    <w:p>
      <w:pPr>
        <w:spacing w:line="360" w:lineRule="auto"/>
      </w:pPr>
      <w:r>
        <w:rPr>
          <w:rFonts w:ascii="Times New Roman" w:hAnsi="Times New Roman"/>
          <w:sz w:val="24"/>
        </w:rPr>
        <w:t>5. Killip T 3rd, Kimball JT. Treatment of myocardial infarction in a coronary care unit: a two year experience with 250 patients. Am J Cardiol. 1967;20:457-464.</w:t>
      </w:r>
    </w:p>
    <w:p>
      <w:pPr>
        <w:spacing w:line="360" w:lineRule="auto"/>
      </w:pPr>
      <w:r>
        <w:rPr>
          <w:rFonts w:ascii="Times New Roman" w:hAnsi="Times New Roman"/>
          <w:sz w:val="24"/>
        </w:rPr>
        <w:t>6. Breiman L. Random forests. Mach Learn. 2001;45:5-32.</w:t>
      </w:r>
    </w:p>
    <w:p>
      <w:pPr>
        <w:spacing w:line="360" w:lineRule="auto"/>
      </w:pPr>
      <w:r>
        <w:rPr>
          <w:rFonts w:ascii="Times New Roman" w:hAnsi="Times New Roman"/>
          <w:sz w:val="24"/>
        </w:rPr>
        <w:t>7. Steyerberg EW, Uno H, Ioannidis JPA, et al. Poor performance of clinical prediction models: the harm of commonly applied methods. J Clin Epidemiol. 2018;98:133-143.</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w:t>
      </w:r>
    </w:p>
    <w:p>
      <w:pPr>
        <w:spacing w:line="360" w:lineRule="auto"/>
      </w:pPr>
      <w:r>
        <w:rPr>
          <w:rFonts w:ascii="Times New Roman" w:hAnsi="Times New Roman"/>
          <w:sz w:val="24"/>
        </w:rPr>
        <w:t>9. DeLong ER, DeLong DM, Clarke-Pearson DL. Comparing the areas under two or more correlated receiver operating characteristic curves: a nonparametric approach. Biometrics. 1988;44(3):837-845.</w:t>
      </w:r>
    </w:p>
    <w:p>
      <w:pPr>
        <w:spacing w:line="360" w:lineRule="auto"/>
      </w:pPr>
      <w:r>
        <w:rPr>
          <w:rFonts w:ascii="Times New Roman" w:hAnsi="Times New Roman"/>
          <w:sz w:val="24"/>
        </w:rPr>
        <w:t>10. Collins GS, Moons KGM, Dhiman P, et al. TRIPOD+AI statement: updated guidance for reporting clinical prediction models that use regression or machine learning methods. BMJ. 2024;385:e078378.</w:t>
      </w:r>
    </w:p>
    <w:p>
      <w:pPr>
        <w:spacing w:line="360" w:lineRule="auto"/>
      </w:pPr>
      <w:r>
        <w:rPr>
          <w:rFonts w:ascii="Times New Roman" w:hAnsi="Times New Roman"/>
          <w:sz w:val="24"/>
        </w:rPr>
        <w:t>11. Van Calster B, McLernon DJ, van Smeden M, Wynants L, Steyerberg EW. Calibration: the Achilles heel of predictive analytics. BMC Med. 2019;17:230.</w:t>
      </w:r>
    </w:p>
    <w:p>
      <w:pPr>
        <w:spacing w:line="360" w:lineRule="auto"/>
      </w:pPr>
      <w:r>
        <w:rPr>
          <w:rFonts w:ascii="Times New Roman" w:hAnsi="Times New Roman"/>
          <w:sz w:val="24"/>
        </w:rPr>
        <w:t>12. Vickers AJ, Elkin EB. Decision curve analysis: a novel method for evaluating prediction models. Med Decis Making. 2006;26(6):565-574.</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3402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