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Admission-Time Risk Stratification for In-Hospital Mortality in Acute Coronary Syndrome</w:t>
      </w:r>
    </w:p>
    <w:p>
      <w:r>
        <w:t>Running title: ACS triage</w:t>
      </w:r>
    </w:p>
    <w:p>
      <w:r>
        <w:t>Manuscript word count: 1315</w:t>
      </w:r>
    </w:p>
    <w:p>
      <w:pPr>
        <w:pStyle w:val="Heading1"/>
      </w:pPr>
      <w:r>
        <w:t>Abstract</w:t>
      </w:r>
    </w:p>
    <w:p>
      <w: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691 patients and captured 173 deaths. HIGH, INTERMEDIATE, and LOW tiers had 87, 71, and 15 deaths, with PPV 50.6%, 20.6%, and 8.6%. HIGH plus INTERMEDIATE escalation had sensitivity 75.6%, specificity 77.7%, PPV 30.6%, and NPV 96.1%. The model AUC was 0.842 and GRACE 2.0 AUC was 0.816 on the same cohort. Calibration slope was 1.088, calibration-in-the-large 0.017, O:E 1.015, and ECE 0.018. Conclusions: A fixed-threshold admission model identified a high-risk subgroup for referral-center monitoring consideration. External validation pending.</w:t>
      </w:r>
    </w:p>
    <w:p>
      <w:r>
        <w:t>Keywords: acute coronary syndrome; mortality; triage; random forest; calibration</w:t>
      </w:r>
    </w:p>
    <w:p>
      <w:pPr>
        <w:pStyle w:val="Heading1"/>
      </w:pPr>
      <w:r>
        <w:t>Introduction</w:t>
      </w:r>
    </w:p>
    <w:p>
      <w:r>
        <w:t>Acute coronary syndrome care depends on early recognition of patients at risk for death. Current guidelines emphasize risk assessment, hemodynamic status, renal function, and clinical instability when planning monitoring and invasive management [1,2]. GRACE remains a major reference score with broad validation [3,4]. Local referral centers may still need an admission-time tool that maps risk to practical monitoring options.</w:t>
      </w:r>
    </w:p>
    <w:p>
      <w: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w:t>
      </w:r>
    </w:p>
    <w:p>
      <w:r>
        <w:t>We developed a single-stage random forest triage model using 12 pre-specified routine admission variables [6]. The aim was not to replace GRACE or clinician judgment. The aim was to produce an internally validated referral-center monitoring aid with fixed operating rules.</w:t>
      </w:r>
    </w:p>
    <w:p>
      <w:pPr>
        <w:pStyle w:val="Heading1"/>
      </w:pPr>
      <w:r>
        <w:t>Methods</w:t>
      </w:r>
    </w:p>
    <w:p>
      <w:r>
        <w:t>The study used a de-identified single-center ACS registry. The cohort included 1,817 eligible admissions and 209 in-hospital deaths. GRACE 2.0 in-hospital mortality scores were available for the same patients. Killip class IV was treated as cardiogenic shock by definition in the source data. Cardiogenic shock was not used in the main model to avoid look-ahead bias; including it inflates apparent performance.</w:t>
      </w:r>
    </w:p>
    <w:p>
      <w: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r>
        <w:t>Median imputation was fitted within training folds only. The random forest used 500 trees, maximum depth 6, minimum leaf size 5, random_state 42, and all available cores. Validation used stratified five-fold pooled out-of-fold predictions. An inner three-fold loop estimated a Youden reference threshold, but no threshold optimization was applied to evaluation data. The screening threshold was fixed at 0.08.</w:t>
      </w:r>
    </w:p>
    <w:p>
      <w:r>
        <w:t>Patients with predicted probability at least 0.08 were flagged. Within the flagged pool, stable descending probability ranking split patients into HIGH, INTERMEDIATE, and LOW tiers in fixed 25/50/25 proportions. HIGH and INTERMEDIATE were escalated for monitoring consideration. All recommendations are advisory.</w:t>
      </w:r>
    </w:p>
    <w:p>
      <w:r>
        <w:t>Performance was measured by AUC, Brier score, sensitivity, specificity, accuracy, PPV, NPV, and confusion matrix counts. Calibration used logistic calibration slope, calibration-in-the-large, observed-to-expected ratio, and equal-frequency 10-bin ECE [7,11]. AUCs were compared with the DeLong method [9]. Events per variable used flagged deaths divided by 12 predictors [8]. Decision curve analysis followed standard net benefit methods [12]. Reporting follows TRIPOD+AI guidance [10].</w:t>
      </w:r>
    </w:p>
    <w:p>
      <w:pPr>
        <w:pStyle w:val="Heading1"/>
      </w:pPr>
      <w:r>
        <w:t>Results</w:t>
      </w:r>
    </w:p>
    <w:p>
      <w:r>
        <w:t>The cohort included 1817 patients, 209 deaths, and 1608 survivors. eGFR had the highest missingness at 6.7%. Complete data for all 12 model variables were present in 1648 patients. Any missingness among the 12 variables occurred in 169 patients.</w:t>
      </w:r>
    </w:p>
    <w:p>
      <w:r>
        <w:t>At threshold 0.08, Stage 1 flagged 691 patients. This group included 173 deaths and 518 survivors, giving sensitivity 82.8%, specificity 67.8%, PPV 25.0%, and NPV 96.8%. The pooled out-of-fold AUC was 0.842 and the Brier score was 0.080.</w:t>
      </w:r>
    </w:p>
    <w:p>
      <w:r>
        <w:t>The HIGH tier included 172 patients, 87 deaths, and PPV 50.6%. The INTERMEDIATE tier included 345 patients, 71 deaths, and PPV 20.6%. The LOW tier included 174 patients, 15 deaths, and PPV 8.6%. HIGH plus INTERMEDIATE contained 158 deaths, equal to 91.3% of flagged deaths.</w:t>
      </w:r>
    </w:p>
    <w:p>
      <w:r>
        <w:t>For the full triage system, 517 patients were escalated. The confusion matrix was TP 158, FP 359, FN 51, and TN 1249. Overall sensitivity was 75.6%, specificity 77.7%, accuracy 77.4%, PPV 30.6%, and NPV 96.1%. Missed deaths were 51 of 209.</w:t>
      </w:r>
    </w:p>
    <w:p>
      <w:r>
        <w:t>Calibration showed slope 1.088, calibration-in-the-large 0.017, O:E 1.015, and ECE 0.018. GRACE 2.0 AUC on the same cohort was 0.816. The AUC difference was 0.025, with DeLong p=0.026 and 95% CI 0.003 to 0.048.</w:t>
      </w:r>
    </w:p>
    <w:p>
      <w:r>
        <w:t>In the sensitivity analysis, adding cardiogenic shock increased system sensitivity to 90.9% and HIGH-tier PPV to 62.0%. This confirms look-ahead inflation and supports exclusion from the main model.</w:t>
      </w:r>
    </w:p>
    <w:p>
      <w:pPr>
        <w:pStyle w:val="Heading1"/>
      </w:pPr>
      <w:r>
        <w:t>Discussion</w:t>
      </w:r>
    </w:p>
    <w:p>
      <w:r>
        <w:t>The model identified a clinically enriched subset for monitoring consideration using data available early in admission. The strongest clinical signal was not a single laboratory value but the joint pattern of hemodynamic status, heart failure severity, kidney function, anemia, inflammation, electrolytes, glucose, age, and oxygen requirement.</w:t>
      </w:r>
    </w:p>
    <w:p>
      <w:r>
        <w:t>The triage structure favors sensitivity while retaining a high NPV. That is suitable for a referral center where missed deterioration has immediate resource consequences. PPV remains limited by the 11.5% mortality prevalence, so the output should trigger review rather than dictate placement.</w:t>
      </w:r>
    </w:p>
    <w:p>
      <w:r>
        <w:t>GRACE has broader external evidence and should remain a reference risk tool. The local model is best interpreted as complementary decision support for bed allocation and monitoring intensity. It should not be used for district or network deployment without external validation.</w:t>
      </w:r>
    </w:p>
    <w:p>
      <w:pPr>
        <w:pStyle w:val="Heading1"/>
      </w:pPr>
      <w:r>
        <w:t>Limitations</w:t>
      </w:r>
    </w:p>
    <w:p>
      <w:r>
        <w:t>This was a single-center retrospective study with internal validation only. External validation pending. The model was evaluated using pooled out-of-fold predictions, but site-specific practice patterns may affect transportability. EPV was 14.4, which meets the preferred threshold, but sample size remains modest for estimating rare deterioration patterns. The fixed tier protocol creates one arithmetic point: 517 escalated patients and 158 escalated deaths imply 359 false positives and 1249 true negatives.</w:t>
      </w:r>
    </w:p>
    <w:p>
      <w:pPr>
        <w:pStyle w:val="Heading1"/>
      </w:pPr>
      <w:r>
        <w:t>Conclusion</w:t>
      </w:r>
    </w:p>
    <w:p>
      <w:r>
        <w:t>A single-stage admission-time random forest model identified ACS patients at higher risk of in-hospital death and mapped them to advisory referral-center monitoring tiers. The approach is reproducible and clinically interpretable, but external validation is required before broader use.</w:t>
      </w:r>
    </w:p>
    <w:p>
      <w:pPr>
        <w:pStyle w:val="Heading1"/>
      </w:pPr>
      <w:r>
        <w:t>References</w:t>
      </w:r>
    </w:p>
    <w:p>
      <w: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Variable</w:t>
            </w:r>
          </w:p>
        </w:tc>
        <w:tc>
          <w:tcPr>
            <w:tcW w:type="dxa" w:w="2268"/>
          </w:tcPr>
          <w:p>
            <w:r>
              <w:t>Survived (n=1608)</w:t>
            </w:r>
          </w:p>
        </w:tc>
        <w:tc>
          <w:tcPr>
            <w:tcW w:type="dxa" w:w="2268"/>
          </w:tcPr>
          <w:p>
            <w:r>
              <w:t>Died (n=209)</w:t>
            </w:r>
          </w:p>
        </w:tc>
        <w:tc>
          <w:tcPr>
            <w:tcW w:type="dxa" w:w="2268"/>
          </w:tcPr>
          <w:p>
            <w:r>
              <w:t>p value</w:t>
            </w:r>
          </w:p>
        </w:tc>
      </w:tr>
      <w:tr>
        <w:tc>
          <w:tcPr>
            <w:tcW w:type="dxa" w:w="2268"/>
          </w:tcPr>
          <w:p>
            <w:r>
              <w:t>Age, years</w:t>
            </w:r>
          </w:p>
        </w:tc>
        <w:tc>
          <w:tcPr>
            <w:tcW w:type="dxa" w:w="2268"/>
          </w:tcPr>
          <w:p>
            <w:r>
              <w:t>57.1 (11.0)</w:t>
            </w:r>
          </w:p>
        </w:tc>
        <w:tc>
          <w:tcPr>
            <w:tcW w:type="dxa" w:w="2268"/>
          </w:tcPr>
          <w:p>
            <w:r>
              <w:t>64.0 (10.4)</w:t>
            </w:r>
          </w:p>
        </w:tc>
        <w:tc>
          <w:tcPr>
            <w:tcW w:type="dxa" w:w="2268"/>
          </w:tcPr>
          <w:p>
            <w:r>
              <w:t>0.000</w:t>
            </w:r>
          </w:p>
        </w:tc>
      </w:tr>
      <w:tr>
        <w:tc>
          <w:tcPr>
            <w:tcW w:type="dxa" w:w="2268"/>
          </w:tcPr>
          <w:p>
            <w:r>
              <w:t>Systolic blood pressure, mmHg</w:t>
            </w:r>
          </w:p>
        </w:tc>
        <w:tc>
          <w:tcPr>
            <w:tcW w:type="dxa" w:w="2268"/>
          </w:tcPr>
          <w:p>
            <w:r>
              <w:t>130.0 (25.3)</w:t>
            </w:r>
          </w:p>
        </w:tc>
        <w:tc>
          <w:tcPr>
            <w:tcW w:type="dxa" w:w="2268"/>
          </w:tcPr>
          <w:p>
            <w:r>
              <w:t>114.9 (30.4)</w:t>
            </w:r>
          </w:p>
        </w:tc>
        <w:tc>
          <w:tcPr>
            <w:tcW w:type="dxa" w:w="2268"/>
          </w:tcPr>
          <w:p>
            <w:r>
              <w:t>0.000</w:t>
            </w:r>
          </w:p>
        </w:tc>
      </w:tr>
      <w:tr>
        <w:tc>
          <w:tcPr>
            <w:tcW w:type="dxa" w:w="2268"/>
          </w:tcPr>
          <w:p>
            <w:r>
              <w:t>Heart rate, beats/min</w:t>
            </w:r>
          </w:p>
        </w:tc>
        <w:tc>
          <w:tcPr>
            <w:tcW w:type="dxa" w:w="2268"/>
          </w:tcPr>
          <w:p>
            <w:r>
              <w:t>82.3 (20.1)</w:t>
            </w:r>
          </w:p>
        </w:tc>
        <w:tc>
          <w:tcPr>
            <w:tcW w:type="dxa" w:w="2268"/>
          </w:tcPr>
          <w:p>
            <w:r>
              <w:t>91.6 (23.7)</w:t>
            </w:r>
          </w:p>
        </w:tc>
        <w:tc>
          <w:tcPr>
            <w:tcW w:type="dxa" w:w="2268"/>
          </w:tcPr>
          <w:p>
            <w:r>
              <w:t>0.000</w:t>
            </w:r>
          </w:p>
        </w:tc>
      </w:tr>
      <w:tr>
        <w:tc>
          <w:tcPr>
            <w:tcW w:type="dxa" w:w="2268"/>
          </w:tcPr>
          <w:p>
            <w:r>
              <w:t>Hemoglobin, g/dL</w:t>
            </w:r>
          </w:p>
        </w:tc>
        <w:tc>
          <w:tcPr>
            <w:tcW w:type="dxa" w:w="2268"/>
          </w:tcPr>
          <w:p>
            <w:r>
              <w:t>13.7 (2.0)</w:t>
            </w:r>
          </w:p>
        </w:tc>
        <w:tc>
          <w:tcPr>
            <w:tcW w:type="dxa" w:w="2268"/>
          </w:tcPr>
          <w:p>
            <w:r>
              <w:t>12.7 (2.5)</w:t>
            </w:r>
          </w:p>
        </w:tc>
        <w:tc>
          <w:tcPr>
            <w:tcW w:type="dxa" w:w="2268"/>
          </w:tcPr>
          <w:p>
            <w:r>
              <w:t>0.000</w:t>
            </w:r>
          </w:p>
        </w:tc>
      </w:tr>
      <w:tr>
        <w:tc>
          <w:tcPr>
            <w:tcW w:type="dxa" w:w="2268"/>
          </w:tcPr>
          <w:p>
            <w:r>
              <w:t>Urea, mg/dL</w:t>
            </w:r>
          </w:p>
        </w:tc>
        <w:tc>
          <w:tcPr>
            <w:tcW w:type="dxa" w:w="2268"/>
          </w:tcPr>
          <w:p>
            <w:r>
              <w:t>39.5 (28.9)</w:t>
            </w:r>
          </w:p>
        </w:tc>
        <w:tc>
          <w:tcPr>
            <w:tcW w:type="dxa" w:w="2268"/>
          </w:tcPr>
          <w:p>
            <w:r>
              <w:t>74.1 (53.3)</w:t>
            </w:r>
          </w:p>
        </w:tc>
        <w:tc>
          <w:tcPr>
            <w:tcW w:type="dxa" w:w="2268"/>
          </w:tcPr>
          <w:p>
            <w:r>
              <w:t>0.000</w:t>
            </w:r>
          </w:p>
        </w:tc>
      </w:tr>
      <w:tr>
        <w:tc>
          <w:tcPr>
            <w:tcW w:type="dxa" w:w="2268"/>
          </w:tcPr>
          <w:p>
            <w:r>
              <w:t>eGFR, mL/min/1.73 m2</w:t>
            </w:r>
          </w:p>
        </w:tc>
        <w:tc>
          <w:tcPr>
            <w:tcW w:type="dxa" w:w="2268"/>
          </w:tcPr>
          <w:p>
            <w:r>
              <w:t>82.2 (27.0)</w:t>
            </w:r>
          </w:p>
        </w:tc>
        <w:tc>
          <w:tcPr>
            <w:tcW w:type="dxa" w:w="2268"/>
          </w:tcPr>
          <w:p>
            <w:r>
              <w:t>53.2 (28.2)</w:t>
            </w:r>
          </w:p>
        </w:tc>
        <w:tc>
          <w:tcPr>
            <w:tcW w:type="dxa" w:w="2268"/>
          </w:tcPr>
          <w:p>
            <w:r>
              <w:t>0.000</w:t>
            </w:r>
          </w:p>
        </w:tc>
      </w:tr>
      <w:tr>
        <w:tc>
          <w:tcPr>
            <w:tcW w:type="dxa" w:w="2268"/>
          </w:tcPr>
          <w:p>
            <w:r>
              <w:t>Systemic immune-inflammation index</w:t>
            </w:r>
          </w:p>
        </w:tc>
        <w:tc>
          <w:tcPr>
            <w:tcW w:type="dxa" w:w="2268"/>
          </w:tcPr>
          <w:p>
            <w:r>
              <w:t>97166.2 (611153.9)</w:t>
            </w:r>
          </w:p>
        </w:tc>
        <w:tc>
          <w:tcPr>
            <w:tcW w:type="dxa" w:w="2268"/>
          </w:tcPr>
          <w:p>
            <w:r>
              <w:t>830412.9 (2554160.6)</w:t>
            </w:r>
          </w:p>
        </w:tc>
        <w:tc>
          <w:tcPr>
            <w:tcW w:type="dxa" w:w="2268"/>
          </w:tcPr>
          <w:p>
            <w:r>
              <w:t>0.000</w:t>
            </w:r>
          </w:p>
        </w:tc>
      </w:tr>
      <w:tr>
        <w:tc>
          <w:tcPr>
            <w:tcW w:type="dxa" w:w="2268"/>
          </w:tcPr>
          <w:p>
            <w:r>
              <w:t>Potassium, mmol/L</w:t>
            </w:r>
          </w:p>
        </w:tc>
        <w:tc>
          <w:tcPr>
            <w:tcW w:type="dxa" w:w="2268"/>
          </w:tcPr>
          <w:p>
            <w:r>
              <w:t>4.1 (1.0)</w:t>
            </w:r>
          </w:p>
        </w:tc>
        <w:tc>
          <w:tcPr>
            <w:tcW w:type="dxa" w:w="2268"/>
          </w:tcPr>
          <w:p>
            <w:r>
              <w:t>4.4 (0.9)</w:t>
            </w:r>
          </w:p>
        </w:tc>
        <w:tc>
          <w:tcPr>
            <w:tcW w:type="dxa" w:w="2268"/>
          </w:tcPr>
          <w:p>
            <w:r>
              <w:t>0.000</w:t>
            </w:r>
          </w:p>
        </w:tc>
      </w:tr>
      <w:tr>
        <w:tc>
          <w:tcPr>
            <w:tcW w:type="dxa" w:w="2268"/>
          </w:tcPr>
          <w:p>
            <w:r>
              <w:t>Sodium, mmol/L</w:t>
            </w:r>
          </w:p>
        </w:tc>
        <w:tc>
          <w:tcPr>
            <w:tcW w:type="dxa" w:w="2268"/>
          </w:tcPr>
          <w:p>
            <w:r>
              <w:t>136.1 (3.6)</w:t>
            </w:r>
          </w:p>
        </w:tc>
        <w:tc>
          <w:tcPr>
            <w:tcW w:type="dxa" w:w="2268"/>
          </w:tcPr>
          <w:p>
            <w:r>
              <w:t>135.0 (4.5)</w:t>
            </w:r>
          </w:p>
        </w:tc>
        <w:tc>
          <w:tcPr>
            <w:tcW w:type="dxa" w:w="2268"/>
          </w:tcPr>
          <w:p>
            <w:r>
              <w:t>0.001</w:t>
            </w:r>
          </w:p>
        </w:tc>
      </w:tr>
      <w:tr>
        <w:tc>
          <w:tcPr>
            <w:tcW w:type="dxa" w:w="2268"/>
          </w:tcPr>
          <w:p>
            <w:r>
              <w:t>Random glucose, mg/dL</w:t>
            </w:r>
          </w:p>
        </w:tc>
        <w:tc>
          <w:tcPr>
            <w:tcW w:type="dxa" w:w="2268"/>
          </w:tcPr>
          <w:p>
            <w:r>
              <w:t>180.0 (89.4)</w:t>
            </w:r>
          </w:p>
        </w:tc>
        <w:tc>
          <w:tcPr>
            <w:tcW w:type="dxa" w:w="2268"/>
          </w:tcPr>
          <w:p>
            <w:r>
              <w:t>205.2 (108.8)</w:t>
            </w:r>
          </w:p>
        </w:tc>
        <w:tc>
          <w:tcPr>
            <w:tcW w:type="dxa" w:w="2268"/>
          </w:tcPr>
          <w:p>
            <w:r>
              <w:t>0.002</w:t>
            </w:r>
          </w:p>
        </w:tc>
      </w:tr>
      <w:tr>
        <w:tc>
          <w:tcPr>
            <w:tcW w:type="dxa" w:w="2268"/>
          </w:tcPr>
          <w:p>
            <w:r>
              <w:t>Killip class 1</w:t>
            </w:r>
          </w:p>
        </w:tc>
        <w:tc>
          <w:tcPr>
            <w:tcW w:type="dxa" w:w="2268"/>
          </w:tcPr>
          <w:p>
            <w:r>
              <w:t>951 (59.1%)</w:t>
            </w:r>
          </w:p>
        </w:tc>
        <w:tc>
          <w:tcPr>
            <w:tcW w:type="dxa" w:w="2268"/>
          </w:tcPr>
          <w:p>
            <w:r>
              <w:t>41 (19.6%)</w:t>
            </w:r>
          </w:p>
        </w:tc>
        <w:tc>
          <w:tcPr>
            <w:tcW w:type="dxa" w:w="2268"/>
          </w:tcPr>
          <w:p>
            <w:r>
              <w:t>0.000</w:t>
            </w:r>
          </w:p>
        </w:tc>
      </w:tr>
      <w:tr>
        <w:tc>
          <w:tcPr>
            <w:tcW w:type="dxa" w:w="2268"/>
          </w:tcPr>
          <w:p>
            <w:r>
              <w:t>Killip class 2</w:t>
            </w:r>
          </w:p>
        </w:tc>
        <w:tc>
          <w:tcPr>
            <w:tcW w:type="dxa" w:w="2268"/>
          </w:tcPr>
          <w:p>
            <w:r>
              <w:t>375 (23.3%)</w:t>
            </w:r>
          </w:p>
        </w:tc>
        <w:tc>
          <w:tcPr>
            <w:tcW w:type="dxa" w:w="2268"/>
          </w:tcPr>
          <w:p>
            <w:r>
              <w:t>32 (15.3%)</w:t>
            </w:r>
          </w:p>
        </w:tc>
        <w:tc>
          <w:tcPr>
            <w:tcW w:type="dxa" w:w="2268"/>
          </w:tcPr>
          <w:p>
            <w:r/>
          </w:p>
        </w:tc>
      </w:tr>
      <w:tr>
        <w:tc>
          <w:tcPr>
            <w:tcW w:type="dxa" w:w="2268"/>
          </w:tcPr>
          <w:p>
            <w:r>
              <w:t>Killip class 3</w:t>
            </w:r>
          </w:p>
        </w:tc>
        <w:tc>
          <w:tcPr>
            <w:tcW w:type="dxa" w:w="2268"/>
          </w:tcPr>
          <w:p>
            <w:r>
              <w:t>102 (6.3%)</w:t>
            </w:r>
          </w:p>
        </w:tc>
        <w:tc>
          <w:tcPr>
            <w:tcW w:type="dxa" w:w="2268"/>
          </w:tcPr>
          <w:p>
            <w:r>
              <w:t>32 (15.3%)</w:t>
            </w:r>
          </w:p>
        </w:tc>
        <w:tc>
          <w:tcPr>
            <w:tcW w:type="dxa" w:w="2268"/>
          </w:tcPr>
          <w:p>
            <w:r/>
          </w:p>
        </w:tc>
      </w:tr>
      <w:tr>
        <w:tc>
          <w:tcPr>
            <w:tcW w:type="dxa" w:w="2268"/>
          </w:tcPr>
          <w:p>
            <w:r>
              <w:t>Killip class 4</w:t>
            </w:r>
          </w:p>
        </w:tc>
        <w:tc>
          <w:tcPr>
            <w:tcW w:type="dxa" w:w="2268"/>
          </w:tcPr>
          <w:p>
            <w:r>
              <w:t>176 (10.9%)</w:t>
            </w:r>
          </w:p>
        </w:tc>
        <w:tc>
          <w:tcPr>
            <w:tcW w:type="dxa" w:w="2268"/>
          </w:tcPr>
          <w:p>
            <w:r>
              <w:t>103 (49.3%)</w:t>
            </w:r>
          </w:p>
        </w:tc>
        <w:tc>
          <w:tcPr>
            <w:tcW w:type="dxa" w:w="2268"/>
          </w:tcPr>
          <w:p>
            <w:r/>
          </w:p>
        </w:tc>
      </w:tr>
      <w:tr>
        <w:tc>
          <w:tcPr>
            <w:tcW w:type="dxa" w:w="2268"/>
          </w:tcPr>
          <w:p>
            <w:r>
              <w:t>Oxygen &gt;5 L/min</w:t>
            </w:r>
          </w:p>
        </w:tc>
        <w:tc>
          <w:tcPr>
            <w:tcW w:type="dxa" w:w="2268"/>
          </w:tcPr>
          <w:p>
            <w:r>
              <w:t>151 (9.4%)</w:t>
            </w:r>
          </w:p>
        </w:tc>
        <w:tc>
          <w:tcPr>
            <w:tcW w:type="dxa" w:w="2268"/>
          </w:tcPr>
          <w:p>
            <w:r>
              <w:t>91 (43.5%)</w:t>
            </w:r>
          </w:p>
        </w:tc>
        <w:tc>
          <w:tcPr>
            <w:tcW w:type="dxa" w:w="2268"/>
          </w:tcPr>
          <w:p>
            <w:r>
              <w:t>0.000</w:t>
            </w:r>
          </w:p>
        </w:tc>
      </w:tr>
    </w:tbl>
    <w:p>
      <w:r>
        <w:t>Table 2. Model and GRACE 2.0 performance.</w:t>
      </w:r>
    </w:p>
    <w:tbl>
      <w:tblPr>
        <w:tblStyle w:val="TableGrid"/>
        <w:tblW w:type="auto" w:w="0"/>
        <w:tblLook w:firstColumn="1" w:firstRow="1" w:lastColumn="0" w:lastRow="0" w:noHBand="0" w:noVBand="1" w:val="04A0"/>
      </w:tblPr>
      <w:tblGrid>
        <w:gridCol w:w="3024"/>
        <w:gridCol w:w="3024"/>
        <w:gridCol w:w="3024"/>
      </w:tblGrid>
      <w:tr>
        <w:tc>
          <w:tcPr>
            <w:tcW w:type="dxa" w:w="3024"/>
          </w:tcPr>
          <w:p>
            <w:r>
              <w:t>Metric</w:t>
            </w:r>
          </w:p>
        </w:tc>
        <w:tc>
          <w:tcPr>
            <w:tcW w:type="dxa" w:w="3024"/>
          </w:tcPr>
          <w:p>
            <w:r>
              <w:t>Model</w:t>
            </w:r>
          </w:p>
        </w:tc>
        <w:tc>
          <w:tcPr>
            <w:tcW w:type="dxa" w:w="3024"/>
          </w:tcPr>
          <w:p>
            <w:r>
              <w:t>GRACE 2.0</w:t>
            </w:r>
          </w:p>
        </w:tc>
      </w:tr>
      <w:tr>
        <w:tc>
          <w:tcPr>
            <w:tcW w:type="dxa" w:w="3024"/>
          </w:tcPr>
          <w:p>
            <w:r>
              <w:t>AUC</w:t>
            </w:r>
          </w:p>
        </w:tc>
        <w:tc>
          <w:tcPr>
            <w:tcW w:type="dxa" w:w="3024"/>
          </w:tcPr>
          <w:p>
            <w:r>
              <w:t>0.842</w:t>
            </w:r>
          </w:p>
        </w:tc>
        <w:tc>
          <w:tcPr>
            <w:tcW w:type="dxa" w:w="3024"/>
          </w:tcPr>
          <w:p>
            <w:r>
              <w:t>0.816</w:t>
            </w:r>
          </w:p>
        </w:tc>
      </w:tr>
      <w:tr>
        <w:tc>
          <w:tcPr>
            <w:tcW w:type="dxa" w:w="3024"/>
          </w:tcPr>
          <w:p>
            <w:r>
              <w:t>AUC difference</w:t>
            </w:r>
          </w:p>
        </w:tc>
        <w:tc>
          <w:tcPr>
            <w:tcW w:type="dxa" w:w="3024"/>
          </w:tcPr>
          <w:p>
            <w:r>
              <w:t>0.025</w:t>
            </w:r>
          </w:p>
        </w:tc>
        <w:tc>
          <w:tcPr>
            <w:tcW w:type="dxa" w:w="3024"/>
          </w:tcPr>
          <w:p>
            <w:r/>
          </w:p>
        </w:tc>
      </w:tr>
      <w:tr>
        <w:tc>
          <w:tcPr>
            <w:tcW w:type="dxa" w:w="3024"/>
          </w:tcPr>
          <w:p>
            <w:r>
              <w:t>DeLong p value</w:t>
            </w:r>
          </w:p>
        </w:tc>
        <w:tc>
          <w:tcPr>
            <w:tcW w:type="dxa" w:w="3024"/>
          </w:tcPr>
          <w:p>
            <w:r>
              <w:t>0.026</w:t>
            </w:r>
          </w:p>
        </w:tc>
        <w:tc>
          <w:tcPr>
            <w:tcW w:type="dxa" w:w="3024"/>
          </w:tcPr>
          <w:p>
            <w:r/>
          </w:p>
        </w:tc>
      </w:tr>
      <w:tr>
        <w:tc>
          <w:tcPr>
            <w:tcW w:type="dxa" w:w="3024"/>
          </w:tcPr>
          <w:p>
            <w:r>
              <w:t>Brier score</w:t>
            </w:r>
          </w:p>
        </w:tc>
        <w:tc>
          <w:tcPr>
            <w:tcW w:type="dxa" w:w="3024"/>
          </w:tcPr>
          <w:p>
            <w:r>
              <w:t>0.080</w:t>
            </w:r>
          </w:p>
        </w:tc>
        <w:tc>
          <w:tcPr>
            <w:tcW w:type="dxa" w:w="3024"/>
          </w:tcPr>
          <w:p>
            <w:r/>
          </w:p>
        </w:tc>
      </w:tr>
      <w:tr>
        <w:tc>
          <w:tcPr>
            <w:tcW w:type="dxa" w:w="3024"/>
          </w:tcPr>
          <w:p>
            <w:r>
              <w:t>Calibration slope</w:t>
            </w:r>
          </w:p>
        </w:tc>
        <w:tc>
          <w:tcPr>
            <w:tcW w:type="dxa" w:w="3024"/>
          </w:tcPr>
          <w:p>
            <w:r>
              <w:t>1.088</w:t>
            </w:r>
          </w:p>
        </w:tc>
        <w:tc>
          <w:tcPr>
            <w:tcW w:type="dxa" w:w="3024"/>
          </w:tcPr>
          <w:p>
            <w:r/>
          </w:p>
        </w:tc>
      </w:tr>
    </w:tbl>
    <w:p>
      <w:r>
        <w:t>Table 3. Tier allocation among flagged patients.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Tier</w:t>
            </w:r>
          </w:p>
        </w:tc>
        <w:tc>
          <w:tcPr>
            <w:tcW w:type="dxa" w:w="2268"/>
          </w:tcPr>
          <w:p>
            <w:r>
              <w:t>n</w:t>
            </w:r>
          </w:p>
        </w:tc>
        <w:tc>
          <w:tcPr>
            <w:tcW w:type="dxa" w:w="2268"/>
          </w:tcPr>
          <w:p>
            <w:r>
              <w:t>Deaths</w:t>
            </w:r>
          </w:p>
        </w:tc>
        <w:tc>
          <w:tcPr>
            <w:tcW w:type="dxa" w:w="2268"/>
          </w:tcPr>
          <w:p>
            <w:r>
              <w:t>PPV</w:t>
            </w:r>
          </w:p>
        </w:tc>
      </w:tr>
      <w:tr>
        <w:tc>
          <w:tcPr>
            <w:tcW w:type="dxa" w:w="2268"/>
          </w:tcPr>
          <w:p>
            <w:r>
              <w:t>HIGH</w:t>
            </w:r>
          </w:p>
        </w:tc>
        <w:tc>
          <w:tcPr>
            <w:tcW w:type="dxa" w:w="2268"/>
          </w:tcPr>
          <w:p>
            <w:r>
              <w:t>172</w:t>
            </w:r>
          </w:p>
        </w:tc>
        <w:tc>
          <w:tcPr>
            <w:tcW w:type="dxa" w:w="2268"/>
          </w:tcPr>
          <w:p>
            <w:r>
              <w:t>87</w:t>
            </w:r>
          </w:p>
        </w:tc>
        <w:tc>
          <w:tcPr>
            <w:tcW w:type="dxa" w:w="2268"/>
          </w:tcPr>
          <w:p>
            <w:r>
              <w:t>50.6%</w:t>
            </w:r>
          </w:p>
        </w:tc>
      </w:tr>
      <w:tr>
        <w:tc>
          <w:tcPr>
            <w:tcW w:type="dxa" w:w="2268"/>
          </w:tcPr>
          <w:p>
            <w:r>
              <w:t>INTERMEDIATE</w:t>
            </w:r>
          </w:p>
        </w:tc>
        <w:tc>
          <w:tcPr>
            <w:tcW w:type="dxa" w:w="2268"/>
          </w:tcPr>
          <w:p>
            <w:r>
              <w:t>345</w:t>
            </w:r>
          </w:p>
        </w:tc>
        <w:tc>
          <w:tcPr>
            <w:tcW w:type="dxa" w:w="2268"/>
          </w:tcPr>
          <w:p>
            <w:r>
              <w:t>71</w:t>
            </w:r>
          </w:p>
        </w:tc>
        <w:tc>
          <w:tcPr>
            <w:tcW w:type="dxa" w:w="2268"/>
          </w:tcPr>
          <w:p>
            <w:r>
              <w:t>20.6%</w:t>
            </w:r>
          </w:p>
        </w:tc>
      </w:tr>
      <w:tr>
        <w:tc>
          <w:tcPr>
            <w:tcW w:type="dxa" w:w="2268"/>
          </w:tcPr>
          <w:p>
            <w:r>
              <w:t>LOW</w:t>
            </w:r>
          </w:p>
        </w:tc>
        <w:tc>
          <w:tcPr>
            <w:tcW w:type="dxa" w:w="2268"/>
          </w:tcPr>
          <w:p>
            <w:r>
              <w:t>174</w:t>
            </w:r>
          </w:p>
        </w:tc>
        <w:tc>
          <w:tcPr>
            <w:tcW w:type="dxa" w:w="2268"/>
          </w:tcPr>
          <w:p>
            <w:r>
              <w:t>15</w:t>
            </w:r>
          </w:p>
        </w:tc>
        <w:tc>
          <w:tcPr>
            <w:tcW w:type="dxa" w:w="2268"/>
          </w:tcPr>
          <w:p>
            <w:r>
              <w:t>8.6%</w:t>
            </w:r>
          </w:p>
        </w:tc>
      </w:tr>
    </w:tbl>
    <w:p>
      <w:pPr>
        <w:jc w:val="center"/>
      </w:pPr>
      <w:r>
        <w:t>Figure 1. fig1 roc.</w:t>
      </w:r>
    </w:p>
    <w:p>
      <w:pPr>
        <w:jc w:val="center"/>
      </w:pPr>
      <w: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jc w:val="center"/>
      </w:pPr>
      <w:r>
        <w:t>Figure 2. fig2 calibration.</w:t>
      </w:r>
    </w:p>
    <w:p>
      <w:pPr>
        <w:jc w:val="center"/>
      </w:pPr>
      <w: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jc w:val="center"/>
      </w:pPr>
      <w:r>
        <w:t>Figure 3. fig3 tiers.</w:t>
      </w:r>
    </w:p>
    <w:p>
      <w:pPr>
        <w:jc w:val="center"/>
      </w:pPr>
      <w: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jc w:val="center"/>
      </w:pPr>
      <w:r>
        <w:t>Figure 4. fig4 flow.</w:t>
      </w:r>
    </w:p>
    <w:p>
      <w:pPr>
        <w:jc w:val="center"/>
      </w:pPr>
      <w: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r>
              <w:t>Variable</w:t>
            </w:r>
          </w:p>
        </w:tc>
        <w:tc>
          <w:tcPr>
            <w:tcW w:type="dxa" w:w="3024"/>
          </w:tcPr>
          <w:p>
            <w:r>
              <w:t>Missing n</w:t>
            </w:r>
          </w:p>
        </w:tc>
        <w:tc>
          <w:tcPr>
            <w:tcW w:type="dxa" w:w="3024"/>
          </w:tcPr>
          <w:p>
            <w:r>
              <w:t>Missing %</w:t>
            </w:r>
          </w:p>
        </w:tc>
      </w:tr>
      <w:tr>
        <w:tc>
          <w:tcPr>
            <w:tcW w:type="dxa" w:w="3024"/>
          </w:tcPr>
          <w:p>
            <w:r>
              <w:t>sbp</w:t>
            </w:r>
          </w:p>
        </w:tc>
        <w:tc>
          <w:tcPr>
            <w:tcW w:type="dxa" w:w="3024"/>
          </w:tcPr>
          <w:p>
            <w:r>
              <w:t>0</w:t>
            </w:r>
          </w:p>
        </w:tc>
        <w:tc>
          <w:tcPr>
            <w:tcW w:type="dxa" w:w="3024"/>
          </w:tcPr>
          <w:p>
            <w:r>
              <w:t>0.0%</w:t>
            </w:r>
          </w:p>
        </w:tc>
      </w:tr>
      <w:tr>
        <w:tc>
          <w:tcPr>
            <w:tcW w:type="dxa" w:w="3024"/>
          </w:tcPr>
          <w:p>
            <w:r>
              <w:t>hr</w:t>
            </w:r>
          </w:p>
        </w:tc>
        <w:tc>
          <w:tcPr>
            <w:tcW w:type="dxa" w:w="3024"/>
          </w:tcPr>
          <w:p>
            <w:r>
              <w:t>2</w:t>
            </w:r>
          </w:p>
        </w:tc>
        <w:tc>
          <w:tcPr>
            <w:tcW w:type="dxa" w:w="3024"/>
          </w:tcPr>
          <w:p>
            <w:r>
              <w:t>0.1%</w:t>
            </w:r>
          </w:p>
        </w:tc>
      </w:tr>
      <w:tr>
        <w:tc>
          <w:tcPr>
            <w:tcW w:type="dxa" w:w="3024"/>
          </w:tcPr>
          <w:p>
            <w:r>
              <w:t>killip</w:t>
            </w:r>
          </w:p>
        </w:tc>
        <w:tc>
          <w:tcPr>
            <w:tcW w:type="dxa" w:w="3024"/>
          </w:tcPr>
          <w:p>
            <w:r>
              <w:t>5</w:t>
            </w:r>
          </w:p>
        </w:tc>
        <w:tc>
          <w:tcPr>
            <w:tcW w:type="dxa" w:w="3024"/>
          </w:tcPr>
          <w:p>
            <w:r>
              <w:t>0.3%</w:t>
            </w:r>
          </w:p>
        </w:tc>
      </w:tr>
      <w:tr>
        <w:tc>
          <w:tcPr>
            <w:tcW w:type="dxa" w:w="3024"/>
          </w:tcPr>
          <w:p>
            <w:r>
              <w:t>hb_igd</w:t>
            </w:r>
          </w:p>
        </w:tc>
        <w:tc>
          <w:tcPr>
            <w:tcW w:type="dxa" w:w="3024"/>
          </w:tcPr>
          <w:p>
            <w:r>
              <w:t>0</w:t>
            </w:r>
          </w:p>
        </w:tc>
        <w:tc>
          <w:tcPr>
            <w:tcW w:type="dxa" w:w="3024"/>
          </w:tcPr>
          <w:p>
            <w:r>
              <w:t>0.0%</w:t>
            </w:r>
          </w:p>
        </w:tc>
      </w:tr>
      <w:tr>
        <w:tc>
          <w:tcPr>
            <w:tcW w:type="dxa" w:w="3024"/>
          </w:tcPr>
          <w:p>
            <w:r>
              <w:t>ureum_igd</w:t>
            </w:r>
          </w:p>
        </w:tc>
        <w:tc>
          <w:tcPr>
            <w:tcW w:type="dxa" w:w="3024"/>
          </w:tcPr>
          <w:p>
            <w:r>
              <w:t>25</w:t>
            </w:r>
          </w:p>
        </w:tc>
        <w:tc>
          <w:tcPr>
            <w:tcW w:type="dxa" w:w="3024"/>
          </w:tcPr>
          <w:p>
            <w:r>
              <w:t>1.4%</w:t>
            </w:r>
          </w:p>
        </w:tc>
      </w:tr>
      <w:tr>
        <w:tc>
          <w:tcPr>
            <w:tcW w:type="dxa" w:w="3024"/>
          </w:tcPr>
          <w:p>
            <w:r>
              <w:t>egfr_igd</w:t>
            </w:r>
          </w:p>
        </w:tc>
        <w:tc>
          <w:tcPr>
            <w:tcW w:type="dxa" w:w="3024"/>
          </w:tcPr>
          <w:p>
            <w:r>
              <w:t>122</w:t>
            </w:r>
          </w:p>
        </w:tc>
        <w:tc>
          <w:tcPr>
            <w:tcW w:type="dxa" w:w="3024"/>
          </w:tcPr>
          <w:p>
            <w:r>
              <w:t>6.7%</w:t>
            </w:r>
          </w:p>
        </w:tc>
      </w:tr>
      <w:tr>
        <w:tc>
          <w:tcPr>
            <w:tcW w:type="dxa" w:w="3024"/>
          </w:tcPr>
          <w:p>
            <w:r>
              <w:t>sii_igd</w:t>
            </w:r>
          </w:p>
        </w:tc>
        <w:tc>
          <w:tcPr>
            <w:tcW w:type="dxa" w:w="3024"/>
          </w:tcPr>
          <w:p>
            <w:r>
              <w:t>17</w:t>
            </w:r>
          </w:p>
        </w:tc>
        <w:tc>
          <w:tcPr>
            <w:tcW w:type="dxa" w:w="3024"/>
          </w:tcPr>
          <w:p>
            <w:r>
              <w:t>0.9%</w:t>
            </w:r>
          </w:p>
        </w:tc>
      </w:tr>
      <w:tr>
        <w:tc>
          <w:tcPr>
            <w:tcW w:type="dxa" w:w="3024"/>
          </w:tcPr>
          <w:p>
            <w:r>
              <w:t>kalium_igd</w:t>
            </w:r>
          </w:p>
        </w:tc>
        <w:tc>
          <w:tcPr>
            <w:tcW w:type="dxa" w:w="3024"/>
          </w:tcPr>
          <w:p>
            <w:r>
              <w:t>4</w:t>
            </w:r>
          </w:p>
        </w:tc>
        <w:tc>
          <w:tcPr>
            <w:tcW w:type="dxa" w:w="3024"/>
          </w:tcPr>
          <w:p>
            <w:r>
              <w:t>0.2%</w:t>
            </w:r>
          </w:p>
        </w:tc>
      </w:tr>
      <w:tr>
        <w:tc>
          <w:tcPr>
            <w:tcW w:type="dxa" w:w="3024"/>
          </w:tcPr>
          <w:p>
            <w:r>
              <w:t>natrium_igd</w:t>
            </w:r>
          </w:p>
        </w:tc>
        <w:tc>
          <w:tcPr>
            <w:tcW w:type="dxa" w:w="3024"/>
          </w:tcPr>
          <w:p>
            <w:r>
              <w:t>5</w:t>
            </w:r>
          </w:p>
        </w:tc>
        <w:tc>
          <w:tcPr>
            <w:tcW w:type="dxa" w:w="3024"/>
          </w:tcPr>
          <w:p>
            <w:r>
              <w:t>0.3%</w:t>
            </w:r>
          </w:p>
        </w:tc>
      </w:tr>
      <w:tr>
        <w:tc>
          <w:tcPr>
            <w:tcW w:type="dxa" w:w="3024"/>
          </w:tcPr>
          <w:p>
            <w:r>
              <w:t>age_when_admission</w:t>
            </w:r>
          </w:p>
        </w:tc>
        <w:tc>
          <w:tcPr>
            <w:tcW w:type="dxa" w:w="3024"/>
          </w:tcPr>
          <w:p>
            <w:r>
              <w:t>0</w:t>
            </w:r>
          </w:p>
        </w:tc>
        <w:tc>
          <w:tcPr>
            <w:tcW w:type="dxa" w:w="3024"/>
          </w:tcPr>
          <w:p>
            <w:r>
              <w:t>0.0%</w:t>
            </w:r>
          </w:p>
        </w:tc>
      </w:tr>
      <w:tr>
        <w:tc>
          <w:tcPr>
            <w:tcW w:type="dxa" w:w="3024"/>
          </w:tcPr>
          <w:p>
            <w:r>
              <w:t>gds_igd</w:t>
            </w:r>
          </w:p>
        </w:tc>
        <w:tc>
          <w:tcPr>
            <w:tcW w:type="dxa" w:w="3024"/>
          </w:tcPr>
          <w:p>
            <w:r>
              <w:t>22</w:t>
            </w:r>
          </w:p>
        </w:tc>
        <w:tc>
          <w:tcPr>
            <w:tcW w:type="dxa" w:w="3024"/>
          </w:tcPr>
          <w:p>
            <w:r>
              <w:t>1.2%</w:t>
            </w:r>
          </w:p>
        </w:tc>
      </w:tr>
      <w:tr>
        <w:tc>
          <w:tcPr>
            <w:tcW w:type="dxa" w:w="3024"/>
          </w:tcPr>
          <w:p>
            <w:r>
              <w:t>oxygen_more_5lpm_igd</w:t>
            </w:r>
          </w:p>
        </w:tc>
        <w:tc>
          <w:tcPr>
            <w:tcW w:type="dxa" w:w="3024"/>
          </w:tcPr>
          <w:p>
            <w:r>
              <w:t>0</w:t>
            </w:r>
          </w:p>
        </w:tc>
        <w:tc>
          <w:tcPr>
            <w:tcW w:type="dxa" w:w="3024"/>
          </w:tcPr>
          <w:p>
            <w:r>
              <w:t>0.0%</w:t>
            </w:r>
          </w:p>
        </w:tc>
      </w:tr>
    </w:tbl>
    <w:p>
      <w: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Threshold</w:t>
            </w:r>
          </w:p>
        </w:tc>
        <w:tc>
          <w:tcPr>
            <w:tcW w:type="dxa" w:w="1134"/>
          </w:tcPr>
          <w:p>
            <w:r>
              <w:t>Sensitivity</w:t>
            </w:r>
          </w:p>
        </w:tc>
        <w:tc>
          <w:tcPr>
            <w:tcW w:type="dxa" w:w="1134"/>
          </w:tcPr>
          <w:p>
            <w:r>
              <w:t>False positives</w:t>
            </w:r>
          </w:p>
        </w:tc>
        <w:tc>
          <w:tcPr>
            <w:tcW w:type="dxa" w:w="1134"/>
          </w:tcPr>
          <w:p>
            <w:r>
              <w:t>Missed deaths</w:t>
            </w:r>
          </w:p>
        </w:tc>
        <w:tc>
          <w:tcPr>
            <w:tcW w:type="dxa" w:w="1134"/>
          </w:tcPr>
          <w:p>
            <w:r>
              <w:t>Flagged n</w:t>
            </w:r>
          </w:p>
        </w:tc>
        <w:tc>
          <w:tcPr>
            <w:tcW w:type="dxa" w:w="1134"/>
          </w:tcPr>
          <w:p>
            <w:r>
              <w:t>Escalated n</w:t>
            </w:r>
          </w:p>
        </w:tc>
        <w:tc>
          <w:tcPr>
            <w:tcW w:type="dxa" w:w="1134"/>
          </w:tcPr>
          <w:p>
            <w:r>
              <w:t>PPV</w:t>
            </w:r>
          </w:p>
        </w:tc>
        <w:tc>
          <w:tcPr>
            <w:tcW w:type="dxa" w:w="1134"/>
          </w:tcPr>
          <w:p>
            <w:r>
              <w:t>Specificity</w:t>
            </w:r>
          </w:p>
        </w:tc>
      </w:tr>
      <w:tr>
        <w:tc>
          <w:tcPr>
            <w:tcW w:type="dxa" w:w="1134"/>
          </w:tcPr>
          <w:p>
            <w:r>
              <w:t>0.1513</w:t>
            </w:r>
          </w:p>
        </w:tc>
        <w:tc>
          <w:tcPr>
            <w:tcW w:type="dxa" w:w="1134"/>
          </w:tcPr>
          <w:p>
            <w:r>
              <w:t>60.3%</w:t>
            </w:r>
          </w:p>
        </w:tc>
        <w:tc>
          <w:tcPr>
            <w:tcW w:type="dxa" w:w="1134"/>
          </w:tcPr>
          <w:p>
            <w:r>
              <w:t>195</w:t>
            </w:r>
          </w:p>
        </w:tc>
        <w:tc>
          <w:tcPr>
            <w:tcW w:type="dxa" w:w="1134"/>
          </w:tcPr>
          <w:p>
            <w:r>
              <w:t>83</w:t>
            </w:r>
          </w:p>
        </w:tc>
        <w:tc>
          <w:tcPr>
            <w:tcW w:type="dxa" w:w="1134"/>
          </w:tcPr>
          <w:p>
            <w:r>
              <w:t>429</w:t>
            </w:r>
          </w:p>
        </w:tc>
        <w:tc>
          <w:tcPr>
            <w:tcW w:type="dxa" w:w="1134"/>
          </w:tcPr>
          <w:p>
            <w:r>
              <w:t>321</w:t>
            </w:r>
          </w:p>
        </w:tc>
        <w:tc>
          <w:tcPr>
            <w:tcW w:type="dxa" w:w="1134"/>
          </w:tcPr>
          <w:p>
            <w:r>
              <w:t>39.3%</w:t>
            </w:r>
          </w:p>
        </w:tc>
        <w:tc>
          <w:tcPr>
            <w:tcW w:type="dxa" w:w="1134"/>
          </w:tcPr>
          <w:p>
            <w:r>
              <w:t>87.9%</w:t>
            </w:r>
          </w:p>
        </w:tc>
      </w:tr>
      <w:tr>
        <w:tc>
          <w:tcPr>
            <w:tcW w:type="dxa" w:w="1134"/>
          </w:tcPr>
          <w:p>
            <w:r>
              <w:t>0.1</w:t>
            </w:r>
          </w:p>
        </w:tc>
        <w:tc>
          <w:tcPr>
            <w:tcW w:type="dxa" w:w="1134"/>
          </w:tcPr>
          <w:p>
            <w:r>
              <w:t>69.9%</w:t>
            </w:r>
          </w:p>
        </w:tc>
        <w:tc>
          <w:tcPr>
            <w:tcW w:type="dxa" w:w="1134"/>
          </w:tcPr>
          <w:p>
            <w:r>
              <w:t>298</w:t>
            </w:r>
          </w:p>
        </w:tc>
        <w:tc>
          <w:tcPr>
            <w:tcW w:type="dxa" w:w="1134"/>
          </w:tcPr>
          <w:p>
            <w:r>
              <w:t>63</w:t>
            </w:r>
          </w:p>
        </w:tc>
        <w:tc>
          <w:tcPr>
            <w:tcW w:type="dxa" w:w="1134"/>
          </w:tcPr>
          <w:p>
            <w:r>
              <w:t>593</w:t>
            </w:r>
          </w:p>
        </w:tc>
        <w:tc>
          <w:tcPr>
            <w:tcW w:type="dxa" w:w="1134"/>
          </w:tcPr>
          <w:p>
            <w:r>
              <w:t>444</w:t>
            </w:r>
          </w:p>
        </w:tc>
        <w:tc>
          <w:tcPr>
            <w:tcW w:type="dxa" w:w="1134"/>
          </w:tcPr>
          <w:p>
            <w:r>
              <w:t>32.9%</w:t>
            </w:r>
          </w:p>
        </w:tc>
        <w:tc>
          <w:tcPr>
            <w:tcW w:type="dxa" w:w="1134"/>
          </w:tcPr>
          <w:p>
            <w:r>
              <w:t>81.5%</w:t>
            </w:r>
          </w:p>
        </w:tc>
      </w:tr>
      <w:tr>
        <w:tc>
          <w:tcPr>
            <w:tcW w:type="dxa" w:w="1134"/>
          </w:tcPr>
          <w:p>
            <w:r>
              <w:t>0.08</w:t>
            </w:r>
          </w:p>
        </w:tc>
        <w:tc>
          <w:tcPr>
            <w:tcW w:type="dxa" w:w="1134"/>
          </w:tcPr>
          <w:p>
            <w:r>
              <w:t>75.6%</w:t>
            </w:r>
          </w:p>
        </w:tc>
        <w:tc>
          <w:tcPr>
            <w:tcW w:type="dxa" w:w="1134"/>
          </w:tcPr>
          <w:p>
            <w:r>
              <w:t>359</w:t>
            </w:r>
          </w:p>
        </w:tc>
        <w:tc>
          <w:tcPr>
            <w:tcW w:type="dxa" w:w="1134"/>
          </w:tcPr>
          <w:p>
            <w:r>
              <w:t>51</w:t>
            </w:r>
          </w:p>
        </w:tc>
        <w:tc>
          <w:tcPr>
            <w:tcW w:type="dxa" w:w="1134"/>
          </w:tcPr>
          <w:p>
            <w:r>
              <w:t>691</w:t>
            </w:r>
          </w:p>
        </w:tc>
        <w:tc>
          <w:tcPr>
            <w:tcW w:type="dxa" w:w="1134"/>
          </w:tcPr>
          <w:p>
            <w:r>
              <w:t>517</w:t>
            </w:r>
          </w:p>
        </w:tc>
        <w:tc>
          <w:tcPr>
            <w:tcW w:type="dxa" w:w="1134"/>
          </w:tcPr>
          <w:p>
            <w:r>
              <w:t>30.6%</w:t>
            </w:r>
          </w:p>
        </w:tc>
        <w:tc>
          <w:tcPr>
            <w:tcW w:type="dxa" w:w="1134"/>
          </w:tcPr>
          <w:p>
            <w:r>
              <w:t>77.7%</w:t>
            </w:r>
          </w:p>
        </w:tc>
      </w:tr>
      <w:tr>
        <w:tc>
          <w:tcPr>
            <w:tcW w:type="dxa" w:w="1134"/>
          </w:tcPr>
          <w:p>
            <w:r>
              <w:t>0.05</w:t>
            </w:r>
          </w:p>
        </w:tc>
        <w:tc>
          <w:tcPr>
            <w:tcW w:type="dxa" w:w="1134"/>
          </w:tcPr>
          <w:p>
            <w:r>
              <w:t>82.8%</w:t>
            </w:r>
          </w:p>
        </w:tc>
        <w:tc>
          <w:tcPr>
            <w:tcW w:type="dxa" w:w="1134"/>
          </w:tcPr>
          <w:p>
            <w:r>
              <w:t>509</w:t>
            </w:r>
          </w:p>
        </w:tc>
        <w:tc>
          <w:tcPr>
            <w:tcW w:type="dxa" w:w="1134"/>
          </w:tcPr>
          <w:p>
            <w:r>
              <w:t>36</w:t>
            </w:r>
          </w:p>
        </w:tc>
        <w:tc>
          <w:tcPr>
            <w:tcW w:type="dxa" w:w="1134"/>
          </w:tcPr>
          <w:p>
            <w:r>
              <w:t>911</w:t>
            </w:r>
          </w:p>
        </w:tc>
        <w:tc>
          <w:tcPr>
            <w:tcW w:type="dxa" w:w="1134"/>
          </w:tcPr>
          <w:p>
            <w:r>
              <w:t>682</w:t>
            </w:r>
          </w:p>
        </w:tc>
        <w:tc>
          <w:tcPr>
            <w:tcW w:type="dxa" w:w="1134"/>
          </w:tcPr>
          <w:p>
            <w:r>
              <w:t>25.4%</w:t>
            </w:r>
          </w:p>
        </w:tc>
        <w:tc>
          <w:tcPr>
            <w:tcW w:type="dxa" w:w="1134"/>
          </w:tcPr>
          <w:p>
            <w:r>
              <w:t>68.3%</w:t>
            </w:r>
          </w:p>
        </w:tc>
      </w:tr>
    </w:tbl>
    <w:p>
      <w:pPr>
        <w:jc w:val="center"/>
      </w:pPr>
      <w:r>
        <w:t>Supplementary Figure. fig5 threshold tradeoff.</w:t>
      </w:r>
    </w:p>
    <w:p>
      <w:pPr>
        <w:jc w:val="center"/>
      </w:pPr>
      <w: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jc w:val="center"/>
      </w:pPr>
      <w:r>
        <w:t>Supplementary Figure. fig6 dca.</w:t>
      </w:r>
    </w:p>
    <w:p>
      <w:pPr>
        <w:jc w:val="center"/>
      </w:pPr>
      <w: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r>
        <w:t>1. Collet JP, Thiele H, Barbato E, et al. 2020 ESC Guidelines for the management of acute coronary syndromes in patients presenting without persistent ST-segment elevation. Eur Heart J. 2021;42:1289-1367.</w:t>
      </w:r>
    </w:p>
    <w:p>
      <w:r>
        <w:t>2. Byrne RA, Rossello X, Coughlan JJ, et al. 2023 ESC Guidelines for the management of acute coronary syndromes. Eur Heart J. 2023;44:3720-3826.</w:t>
      </w:r>
    </w:p>
    <w:p>
      <w:r>
        <w:t>3. Fox KAA, Dabbous OH, Goldberg RJ, et al. Prediction of risk of death and myocardial infarction in the six months after presentation with acute coronary syndrome: prospective multinational observational study (GRACE). BMJ. 2006;333:1091.</w:t>
      </w:r>
    </w:p>
    <w:p>
      <w:r>
        <w:t>4. Granger CB, Goldberg RJ, Dabbous O, et al. Predictors of hospital mortality in the Global Registry of Acute Coronary Events. Arch Intern Med. 2003;163:2345-2353.</w:t>
      </w:r>
    </w:p>
    <w:p>
      <w:r>
        <w:t>5. Killip T 3rd, Kimball JT. Treatment of myocardial infarction in a coronary care unit: a two year experience with 250 patients. Am J Cardiol. 1967;20:457-464.</w:t>
      </w:r>
    </w:p>
    <w:p>
      <w:r>
        <w:t>6. Breiman L. Random forests. Mach Learn. 2001;45:5-32.</w:t>
      </w:r>
    </w:p>
    <w:p>
      <w:r>
        <w:t>7. Steyerberg EW, Uno H, Ioannidis JPA, et al. Poor performance of clinical prediction models: the harm of commonly applied methods. J Clin Epidemiol. 2018;98:133-143.</w:t>
      </w:r>
    </w:p>
    <w:p>
      <w:r>
        <w:t>8. van Smeden M, Moons KGM, de Groot JAH, et al. Sample size for binary logistic prediction models: beyond events per variable criteria. Stat Methods Med Res. 2019;28(8):2455-2474.</w:t>
      </w:r>
    </w:p>
    <w:p>
      <w:r>
        <w:t>9. DeLong ER, DeLong DM, Clarke-Pearson DL. Comparing the areas under two or more correlated receiver operating characteristic curves: a nonparametric approach. Biometrics. 1988;44(3):837-845.</w:t>
      </w:r>
    </w:p>
    <w:p>
      <w:r>
        <w:t>10. Collins GS, Moons KGM, Dhiman P, et al. TRIPOD+AI statement: updated guidance for reporting clinical prediction models that use regression or machine learning methods. BMJ. 2024;385:e078378.</w:t>
      </w:r>
    </w:p>
    <w:p>
      <w:r>
        <w:t>11. Van Calster B, McLernon DJ, van Smeden M, Wynants L, Steyerberg EW. Calibration: the Achilles heel of predictive analytics. BMC Med. 2019;17:230.</w:t>
      </w:r>
    </w:p>
    <w:p>
      <w:r>
        <w:t>12. Vickers AJ, Elkin EB. Decision curve analysis: a novel method for evaluating prediction models. Med Decis Making. 2006;26(6):565-574.</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1315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