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3641</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At threshold 0.08, 682 patients (37.5%) were flagged, capturing 172 deaths (flagging sensitivity 82.3%, PPV 25.2%). After the fixed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local ethics process approved use of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the admission-time shock-on-arrival flag identified 278 of these, and one further patient had Killip class IV recorded without that flag. Cardiogenic shock was recorded in 422 patients in total, so 143 patients had cardiogenic shock without Killip class IV, reflecting records made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14.3;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representing shock recognized after admission. That last group is the reason cardiogenic shock was excluded from the main model: it identifies a very high-risk state, but not always one known at the admission decision point, and including it would inflate apparent triage performance.</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Urea had the highest missingness at 1.4%, followed by random glucose (1.2%) and systemic immune-inflammation index (0.9%). eGFR missingness was 0.6% after CKD-EPI 2021 derivation from creatinine, age, and sex. Complete data for all 12 model variables were present in 1,745 patients (96.0%), and 72 patients (4.0%)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pooled out-of-fold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pPr>
        <w:spacing w:line="360" w:lineRule="auto"/>
      </w:pPr>
      <w:r>
        <w:rPr>
          <w:rFonts w:ascii="Times New Roman" w:hAnsi="Times New Roman"/>
          <w:sz w:val="24"/>
        </w:rPr>
        <w:t>For the full triage system, 511 patients were escalated, equal to 28.1% of the cohort. The confusion matrix was TP 158, FP 353, FN 51, and TN 1,255,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supporting its potential utility for triage decisions.</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37.5% of patients and captured 172 of 209 deaths. After the fixed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0.843 compared with GRACE 2.0 AUC 0.816 on the same cohort, with an AUC difference of 0.027 and DeLong p = 0.021.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3641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