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3. Tier allocation and not-flagged mortality.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Group</w:t>
            </w:r>
          </w:p>
        </w:tc>
        <w:tc>
          <w:tcPr>
            <w:tcW w:type="dxa" w:w="2268"/>
          </w:tcPr>
          <w:p>
            <w:r>
              <w:t>n</w:t>
            </w:r>
          </w:p>
        </w:tc>
        <w:tc>
          <w:tcPr>
            <w:tcW w:type="dxa" w:w="2268"/>
          </w:tcPr>
          <w:p>
            <w:r>
              <w:t>Deaths</w:t>
            </w:r>
          </w:p>
        </w:tc>
        <w:tc>
          <w:tcPr>
            <w:tcW w:type="dxa" w:w="2268"/>
          </w:tcPr>
          <w:p>
            <w:r>
              <w:t>PPV</w:t>
            </w:r>
          </w:p>
        </w:tc>
      </w:tr>
      <w:tr>
        <w:tc>
          <w:tcPr>
            <w:tcW w:type="dxa" w:w="2268"/>
          </w:tcPr>
          <w:p>
            <w:r>
              <w:t>HIGH</w:t>
            </w:r>
          </w:p>
        </w:tc>
        <w:tc>
          <w:tcPr>
            <w:tcW w:type="dxa" w:w="2268"/>
          </w:tcPr>
          <w:p>
            <w:r>
              <w:t>170</w:t>
            </w:r>
          </w:p>
        </w:tc>
        <w:tc>
          <w:tcPr>
            <w:tcW w:type="dxa" w:w="2268"/>
          </w:tcPr>
          <w:p>
            <w:r>
              <w:t>88</w:t>
            </w:r>
          </w:p>
        </w:tc>
        <w:tc>
          <w:tcPr>
            <w:tcW w:type="dxa" w:w="2268"/>
          </w:tcPr>
          <w:p>
            <w:r>
              <w:t>51.8%</w:t>
            </w:r>
          </w:p>
        </w:tc>
      </w:tr>
      <w:tr>
        <w:tc>
          <w:tcPr>
            <w:tcW w:type="dxa" w:w="2268"/>
          </w:tcPr>
          <w:p>
            <w:r>
              <w:t>INTERMEDIATE</w:t>
            </w:r>
          </w:p>
        </w:tc>
        <w:tc>
          <w:tcPr>
            <w:tcW w:type="dxa" w:w="2268"/>
          </w:tcPr>
          <w:p>
            <w:r>
              <w:t>341</w:t>
            </w:r>
          </w:p>
        </w:tc>
        <w:tc>
          <w:tcPr>
            <w:tcW w:type="dxa" w:w="2268"/>
          </w:tcPr>
          <w:p>
            <w:r>
              <w:t>70</w:t>
            </w:r>
          </w:p>
        </w:tc>
        <w:tc>
          <w:tcPr>
            <w:tcW w:type="dxa" w:w="2268"/>
          </w:tcPr>
          <w:p>
            <w:r>
              <w:t>20.5%</w:t>
            </w:r>
          </w:p>
        </w:tc>
      </w:tr>
      <w:tr>
        <w:tc>
          <w:tcPr>
            <w:tcW w:type="dxa" w:w="2268"/>
          </w:tcPr>
          <w:p>
            <w:r>
              <w:t>LOW</w:t>
            </w:r>
          </w:p>
        </w:tc>
        <w:tc>
          <w:tcPr>
            <w:tcW w:type="dxa" w:w="2268"/>
          </w:tcPr>
          <w:p>
            <w:r>
              <w:t>171</w:t>
            </w:r>
          </w:p>
        </w:tc>
        <w:tc>
          <w:tcPr>
            <w:tcW w:type="dxa" w:w="2268"/>
          </w:tcPr>
          <w:p>
            <w:r>
              <w:t>14</w:t>
            </w:r>
          </w:p>
        </w:tc>
        <w:tc>
          <w:tcPr>
            <w:tcW w:type="dxa" w:w="2268"/>
          </w:tcPr>
          <w:p>
            <w:r>
              <w:t>8.2%</w:t>
            </w:r>
          </w:p>
        </w:tc>
      </w:tr>
      <w:tr>
        <w:tc>
          <w:tcPr>
            <w:tcW w:type="dxa" w:w="2268"/>
          </w:tcPr>
          <w:p>
            <w:r>
              <w:t>Not flagged</w:t>
            </w:r>
          </w:p>
        </w:tc>
        <w:tc>
          <w:tcPr>
            <w:tcW w:type="dxa" w:w="2268"/>
          </w:tcPr>
          <w:p>
            <w:r>
              <w:t>1135</w:t>
            </w:r>
          </w:p>
        </w:tc>
        <w:tc>
          <w:tcPr>
            <w:tcW w:type="dxa" w:w="2268"/>
          </w:tcPr>
          <w:p>
            <w:r>
              <w:t>37</w:t>
            </w:r>
          </w:p>
        </w:tc>
        <w:tc>
          <w:tcPr>
            <w:tcW w:type="dxa" w:w="2268"/>
          </w:tcPr>
          <w:p>
            <w:r>
              <w:t>3.3%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