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 Pragmatically Calibrated Machine Learning Triage System for In-Hospital Mortality in Acute Coronary Syndromes</w:t>
      </w:r>
    </w:p>
    <w:p>
      <w:r>
        <w:rPr>
          <w:rFonts w:ascii="Times New Roman" w:hAnsi="Times New Roman"/>
          <w:b/>
          <w:sz w:val="26"/>
        </w:rPr>
        <w:t>Abstract</w:t>
      </w:r>
    </w:p>
    <w:p>
      <w:r>
        <w:t>Background: Early mortality risk assessment in acute coronary syndrome guides monitoring intensity, but referral centers need tools based on routine admission data. Methods: We studied 1,817 de-identified ACS admissions with 209 in-hospital deaths. A random forest using 12 pre-specified admission variables was evaluated with stratified five-fold cross-validation. The screening threshold was set a priori at 0.08. Flagged patients were split into HIGH, INTERMEDIATE, and LOW tiers by a prespecified 25/50/25 rule. Results: At threshold 0.08, 682 patients (37.5%) were flagged, capturing 172 deaths (flagging sensitivity 82.3%, PPV 25.2%). After the 25/50/25 tier split, 511 patients were escalated (HIGH plus INTERMEDIATE), capturing 158 deaths (sensitivity 75.6%, specificity 78.0%, PPV 30.9%, NPV 96.1%). The HIGH, INTERMEDIATE, and LOW tiers had 88, 70, and 14 deaths, with PPV 51.8%, 20.5%, and 8.2%. HIGH plus INTERMEDIATE escalation had sensitivity 75.6%, specificity 78.0%, PPV 30.9%, and NPV 96.1%. The model AUC was 0.843 and GRACE 2.0 AUC was 0.816 on the same cohort. Calibration slope was 1.076, calibration-in-the-large 0.015, O:E 1.014, and ECE 0.017. Conclusions: A threshold-based admission model identified a high-risk subgroup for referral-center monitoring consideration. External validation pending.</w:t>
      </w:r>
    </w:p>
    <w:p>
      <w:r>
        <w:t>Keywords: acute coronary syndrome; mortality; triage; random forest; calibration</w:t>
      </w:r>
    </w:p>
    <w:p>
      <w:r>
        <w:rPr>
          <w:rFonts w:ascii="Times New Roman" w:hAnsi="Times New Roman"/>
          <w:b/>
          <w:sz w:val="26"/>
        </w:rPr>
        <w:t>Introduction</w:t>
      </w:r>
    </w:p>
    <w:p>
      <w:r>
        <w:t>Acute coronary syndrome care depends on early recognition of patients at risk for death. Current ESC guidelines emphasize initial risk stratification using clinical history, vital signs, physical findings, ECG, biomarkers, and clinical instability [1,2]. GRACE remains a major reference score with broad validation [3,4]. Local referral centers need admission-time tools that map risk to practical monitoring options.</w:t>
      </w:r>
    </w:p>
    <w:p>
      <w:r>
        <w:t>The immediate problem at admission extends beyond prognostic labeling. It includes monitored beds, nurse attention, repeat assessment, and senior review while diagnostic and treatment pathways are still moving. Although a score can perform well as a population predictor, bedside monitoring decisions require an operating point chosen for triage safety. In a referral center, the clinical cost of missing early deterioration is high, but the capacity cost of excessive escalation is also real.</w:t>
      </w:r>
    </w:p>
    <w:p>
      <w:r>
        <w:t>Killip class captures heart failure severity after myocardial infarction and remains clinically meaningful decades after its first description [5]. Blood pressure and heart rate reflect hemodynamic stress. Renal markers, electrolytes, hemoglobin, glucose, and oxygen requirement describe perfusion, metabolic reserve, and acute respiratory support needs. These variables are routinely available at presentation. They also have face validity for admission decisions: a hypotensive patient with renal dysfunction and high oxygen need is different from a stable patient whose risk is driven only by age.</w:t>
      </w:r>
    </w:p>
    <w:p>
      <w:r>
        <w:t>We evaluated a triage model using a random forest, an ensemble of tree predictors [6]. The model used 12 pre-specified routine admission variables. The aim was not to replace GRACE or clinician judgment. Instead, the study tested an internally validated referral-center monitoring aid with a priori operating rules. The objective was to estimate discrimination, calibration, and clinical tier performance for an admission-time model, compare its AUC with GRACE 2.0 on the same cohort, and quantify how a post-admission cardiogenic shock variable would inflate apparent performance.</w:t>
      </w:r>
    </w:p>
    <w:p>
      <w:r>
        <w:rPr>
          <w:rFonts w:ascii="Times New Roman" w:hAnsi="Times New Roman"/>
          <w:b/>
          <w:sz w:val="26"/>
        </w:rPr>
        <w:t>Methods</w:t>
      </w:r>
    </w:p>
    <w:p>
      <w:r>
        <w:rPr>
          <w:rFonts w:ascii="Times New Roman" w:hAnsi="Times New Roman"/>
          <w:b/>
          <w:sz w:val="24"/>
        </w:rPr>
        <w:t>Study Design and Setting</w:t>
      </w:r>
    </w:p>
    <w:p>
      <w:r>
        <w:t>The study used a de-identified single-center ACS registry from a referral center. The analysis was retrospective, and all model assessment was internal. The study protocol was approved by the Health Research Ethics Committee of the Faculty of Medicine, Universitas Hasanuddin (approval number 890/UN4.6.4.5.31/PP36/2026). The analysis used the de-identified registry with no direct patient contact. Reporting follows TRIPOD+AI guidance for prediction models that use regression or machine learning methods [7]. External validation pending.</w:t>
      </w:r>
    </w:p>
    <w:p>
      <w:r>
        <w:rPr>
          <w:rFonts w:ascii="Times New Roman" w:hAnsi="Times New Roman"/>
          <w:b/>
          <w:sz w:val="24"/>
        </w:rPr>
        <w:t>Participants and Outcomes</w:t>
      </w:r>
    </w:p>
    <w:p>
      <w:r>
        <w:t>The cohort included 1,817 eligible ACS admissions, 209 in-hospital deaths, and 1,608 survivors. The outcome was all-cause in-hospital mortality. GRACE 2.0 in-hospital mortality scores were available for the same patients. Killip class IV was treated as cardiogenic shock by definition in the source data: 279 patients had Killip class IV, which corresponds to cardiogenic shock at presentation. Cardiogenic shock was recorded in 422 patients in total, so 143 patients had cardiogenic shock without Killip class IV. Those records indicate shock recognized after admission.</w:t>
      </w:r>
    </w:p>
    <w:p>
      <w:r>
        <w:t>This distinction was central to the design. Cardiogenic shock was not used in the main model to avoid look-ahead bias; including it inflates apparent performance. The flag can be recorded after admission, whereas Killip class IV reflects the presentation state. The model therefore used admission-time variables only, and cardiogenic shock was reserved for the sensitivity analysis.</w:t>
      </w:r>
    </w:p>
    <w:p>
      <w:r>
        <w:rPr>
          <w:rFonts w:ascii="Times New Roman" w:hAnsi="Times New Roman"/>
          <w:b/>
          <w:sz w:val="24"/>
        </w:rPr>
        <w:t>Predictors</w:t>
      </w:r>
    </w:p>
    <w:p>
      <w:r>
        <w:t>The 12 predictors were systolic blood pressure, heart rate, Killip class, hemoglobin, urea, estimated glomerular filtration rate, systemic immune-inflammation index, potassium, sodium, age at admission, random glucose, and oxygen need above 5 L/min. The predictors were selected from clinical domain knowledge before evaluation. No predictor ranking or selection used outcome data.</w:t>
      </w:r>
    </w:p>
    <w:p>
      <w:r>
        <w:t>Each predictor was chosen because it has a direct admission interpretation. Systolic blood pressure and heart rate describe hemodynamic stress. Killip class reflects pulmonary congestion and heart failure severity. Urea and estimated glomerular filtration rate reflect renal perfusion, chronic reserve, and the kidney response to low effective circulation. Hemoglobin describes oxygen carrying capacity. The systemic immune-inflammation index reflects inflammatory and thrombotic burden. Potassium and sodium identify electrolyte disturbance and illness severity. Random glucose captures acute metabolic stress. Oxygen need above 5 L/min reflects respiratory distress and impaired cardiopulmonary reserve. Age at admission anchors baseline vulnerability. All 12 variables were intended to be available within the first hour.</w:t>
      </w:r>
    </w:p>
    <w:p>
      <w:r>
        <w:rPr>
          <w:rFonts w:ascii="Times New Roman" w:hAnsi="Times New Roman"/>
          <w:b/>
          <w:sz w:val="24"/>
        </w:rPr>
        <w:t>Missing Data</w:t>
      </w:r>
    </w:p>
    <w:p>
      <w:r>
        <w:t>Missingness was summarized for each model variable in Supplementary Table S1. Urea had the highest missingness at 1.4%, followed by random glucose (1.2%) and systemic immune-inflammation index (0.9%). Complete data for all 12 model variables were present in 1,745 patients (96.0%), while any missingness among the 12 variables occurred in 72 patients (4.0%). Median imputation was performed within each cross-validation training fold and then applied to the corresponding validation fold, so that no information from the validation fold influenced the imputed values.</w:t>
      </w:r>
    </w:p>
    <w:p>
      <w:r>
        <w:rPr>
          <w:rFonts w:ascii="Times New Roman" w:hAnsi="Times New Roman"/>
          <w:b/>
          <w:sz w:val="24"/>
        </w:rPr>
        <w:t>Model Specification</w:t>
      </w:r>
    </w:p>
    <w:p>
      <w:r>
        <w:t>The random forest comprised 500 trees, with a maximum depth of 6 and a minimum of 5 observations per terminal node, and a fixed random seed for reproducible construction. These size constraints limited overfitting and prevented very small terminal subgroups in a cohort with 209 deaths. Events per variable were calculated as flagged deaths divided by the 12 predictors, giving EPV 14.3; EPV was retained as a descriptive check because sample-size adequacy extends beyond a simple EPV rule [8]. Because the model was intended for pragmatic triage, the predictor set was prespecified rather than discovered from the full dataset.</w:t>
      </w:r>
    </w:p>
    <w:p>
      <w:r>
        <w:rPr>
          <w:rFonts w:ascii="Times New Roman" w:hAnsi="Times New Roman"/>
          <w:b/>
          <w:sz w:val="24"/>
        </w:rPr>
        <w:t>Internal Validation</w:t>
      </w:r>
    </w:p>
    <w:p>
      <w:r>
        <w:t>Validation used stratified five-fold cross-validation, and predictions from all held-out folds were pooled for the performance estimates. A fixed random seed (42) ensured that the same data partitions were reproduced on every run. Within each training fold, a nested three-fold cross-validation estimated the Youden reference threshold, and the corresponding validation fold was used only for evaluation. No predictor selection, threshold choice, tier definition, calibration, or operating-point decision used the evaluation data.</w:t>
      </w:r>
    </w:p>
    <w:p>
      <w:r>
        <w:rPr>
          <w:rFonts w:ascii="Times New Roman" w:hAnsi="Times New Roman"/>
          <w:b/>
          <w:sz w:val="24"/>
        </w:rPr>
        <w:t>Screening Threshold</w:t>
      </w:r>
    </w:p>
    <w:p>
      <w:r>
        <w:t>The Youden reference threshold estimated by the nested cross-validation was 0.1513. It was reported as a reference only and was not used for flagging. The screening threshold was set a priori at 0.08 because the clinical purpose was triage safety rather than a single optimal ROC point. Relative to the Youden reference, the 0.08 operating point captured 32 additional deaths and produced 152 additional false positives, with escalated patients rising from 327 to 511. Supplementary Table S2 shows the four examined thresholds: 0.1513, 0.10, 0.08, and 0.05.</w:t>
      </w:r>
    </w:p>
    <w:p>
      <w:r>
        <w:rPr>
          <w:rFonts w:ascii="Times New Roman" w:hAnsi="Times New Roman"/>
          <w:b/>
          <w:sz w:val="24"/>
        </w:rPr>
        <w:t>Tier Protocol</w:t>
      </w:r>
    </w:p>
    <w:p>
      <w:r>
        <w:t>Patients with predicted probability at least 0.08 were flagged. Flagged patients were ranked by predicted probability and divided into HIGH, INTERMEDIATE, and LOW tiers in prespecified 25/50/25 proportions. HIGH and INTERMEDIATE were escalated for monitoring consideration. In referral-center terms, HIGH RISK implies consideration of ICU monitoring, INTERMEDIATE implies consideration of HCU monitoring, and LOW implies ward-level monitoring if the treating physician agrees. These are advisory implications, not automated placement decisions.</w:t>
      </w:r>
    </w:p>
    <w:p>
      <w:r>
        <w:rPr>
          <w:rFonts w:ascii="Times New Roman" w:hAnsi="Times New Roman"/>
          <w:b/>
          <w:sz w:val="24"/>
        </w:rPr>
        <w:t>Comparator and Statistical Analysis</w:t>
      </w:r>
    </w:p>
    <w:p>
      <w:r>
        <w:t>GRACE 2.0 in-hospital scores were computed on the same cohort and used as the comparator [3,4]. Performance was measured by AUC, Brier score, sensitivity, specificity, accuracy, PPV, NPV, and classification counts. Calibration assessment followed prediction-model performance guidance [9,10]. It included logistic calibration slope and calibration-in-the-large [10]. The analysis also reported observed-to-expected ratio and equal-frequency 10-bin ECE. AUCs were compared with the DeLong method for correlated ROC curves [11]. Decision curve analysis followed standard net benefit methods [12]. A sensitivity analysis added cardiogenic shock as a thirteenth predictor to demonstrate look-ahead inflation.</w:t>
      </w:r>
    </w:p>
    <w:p>
      <w:r>
        <w:rPr>
          <w:rFonts w:ascii="Times New Roman" w:hAnsi="Times New Roman"/>
          <w:b/>
          <w:sz w:val="26"/>
        </w:rPr>
        <w:t>Results</w:t>
      </w:r>
    </w:p>
    <w:p>
      <w:r>
        <w:rPr>
          <w:rFonts w:ascii="Times New Roman" w:hAnsi="Times New Roman"/>
          <w:b/>
          <w:sz w:val="24"/>
        </w:rPr>
        <w:t>Baseline Characteristics</w:t>
      </w:r>
    </w:p>
    <w:p>
      <w:r>
        <w:t>The cohort included 1,817 patients, 209 deaths (11.5%), and 1,608 survivors. Baseline characteristics by outcome are shown in Table 1. Patients who died were older and had lower systolic blood pressure, higher heart rate, lower hemoglobin, higher urea, lower eGFR, higher systemic immune-inflammation index, more abnormal electrolytes, higher random glucose, more severe Killip class, and more frequent oxygen need above 5 L/min.</w:t>
      </w:r>
    </w:p>
    <w:p>
      <w:r>
        <w:t>Mortality rose with the timing of the shock record. Death rates were 36.9% among the 279 patients with Killip class IV, 43.6% among all 422 patients with cardiogenic shock, and 56.6% among the 143 patients in whom cardiogenic shock was recorded without Killip class IV. That last group had shock recognized after admission. It identifies a very high-risk state, but not always one known at the admission decision point, so including cardiogenic shock would inflate apparent triage performance.</w:t>
      </w:r>
    </w:p>
    <w:p>
      <w:r>
        <w:rPr>
          <w:rFonts w:ascii="Times New Roman" w:hAnsi="Times New Roman"/>
          <w:b/>
          <w:sz w:val="24"/>
        </w:rPr>
        <w:t>Discrimination and Calibration</w:t>
      </w:r>
    </w:p>
    <w:p>
      <w:r>
        <w:t>At threshold 0.08, the model flagged 682 patients (37.5%). This group included 172 deaths and 510 survivors, giving flagging sensitivity 82.3%, specificity 68.3%, PPV 25.2%, and NPV 96.7%. The term flagged refers to all patients with predicted probability at least 0.08; the term escalated, used below, refers to the subset of flagged patients placed in the HIGH or INTERMEDIATE tiers, excluding the LOW tier. The cross-validated AUC was 0.843 and the Brier score was 0.080.</w:t>
      </w:r>
    </w:p>
    <w:p>
      <w:r>
        <w:t>GRACE 2.0 AUC on the same cohort was 0.816. The AUC difference was 0.027, with DeLong p = 0.021 and 95% CI 0.004 to 0.049. This comparison is shown in Table 2 and Figure 1. The finding supports local complementary decision support, not replacement of a score validated across very large ACS populations.</w:t>
      </w:r>
    </w:p>
    <w:p>
      <w:r>
        <w:t>Calibration was close to the ideal line. The calibration slope was 1.076, calibration-in-the-large was 0.015, O:E ratio was 1.014, and ECE was 0.017. Figure 2 shows the reliability pattern across risk bins. These estimates came from cross-validated predictions, not from the data used to develop the model.</w:t>
      </w:r>
    </w:p>
    <w:p>
      <w:r>
        <w:rPr>
          <w:rFonts w:ascii="Times New Roman" w:hAnsi="Times New Roman"/>
          <w:b/>
          <w:sz w:val="24"/>
        </w:rPr>
        <w:t>Tier Allocation and Clinical Operating Point</w:t>
      </w:r>
    </w:p>
    <w:p>
      <w:r>
        <w:t>The HIGH tier included 170 patients, 88 deaths, and PPV 51.8%. The INTERMEDIATE tier included 341 patients, 70 deaths, and PPV 20.5%. The LOW tier included 171 patients, 14 deaths, and PPV 8.2%. HIGH plus INTERMEDIATE contained 158 deaths, equal to 91.9% of the 172 flagged deaths (75.6% of all 209 deaths).</w:t>
      </w:r>
    </w:p>
    <w:p>
      <w:r>
        <w:t>For the full triage system, 511 patients were escalated, equal to 28.1% of the cohort. The classification counts were 158 true positives, 353 false positives, 51 false negatives, and 1,255 true negatives, summing to 1,817 patients. Overall sensitivity was 75.6% (158/209), specificity 78.0%, accuracy 77.8%, PPV 30.9%, and NPV 96.1%. Missed deaths were 51 of 209 (24.4%): 37 patients were not flagged and 14 were flagged but placed in the LOW tier. The 91.9% figure is secondary and uses a different denominator, 158 of 172 flagged deaths. Figure 4 illustrates the proposed referral-center workflow, mapping HIGH, INTERMEDIATE, and LOW tiers to advisory ICU, HCU, and ward monitoring considerations.</w:t>
      </w:r>
    </w:p>
    <w:p>
      <w:r>
        <w:t>The threshold trade-off followed the expected pattern. At 0.1513, sensitivity was 60.3%, false positives were 201, and 327 patients were escalated. At 0.1, sensitivity was 69.9%, false positives were 293, and 439 patients were escalated. At 0.08, sensitivity was 75.6%, false positives were 353, and 511 patients were escalated. At 0.05, sensitivity was 81.8%, false positives were 499, and 670 patients were escalated. The selected 0.08 threshold therefore retained a safety margin without escalating more than one third of the cohort. Decision curve analysis (Supplementary Figure S2) showed that the admission model provided positive net benefit across the full range of threshold probabilities examined (1% to 40%) and exceeded the treat-all and treat-none strategies. These results support its use as a triage decision aid for prospective testing.</w:t>
      </w:r>
    </w:p>
    <w:p>
      <w:r>
        <w:rPr>
          <w:rFonts w:ascii="Times New Roman" w:hAnsi="Times New Roman"/>
          <w:b/>
          <w:sz w:val="24"/>
        </w:rPr>
        <w:t>Sensitivity Analysis</w:t>
      </w:r>
    </w:p>
    <w:p>
      <w:r>
        <w:t>In the sensitivity analysis, adding cardiogenic shock increased system sensitivity to 90.4%, HIGH-tier PPV to 63.2%, and AUC to 0.938. Cardiogenic shock was not used in the main model to avoid look-ahead bias; including it inflates apparent performance. The mechanism is visible in the registry timing: 143 of 422 patients with cardiogenic shock had no Killip class IV, and their mortality was 56.6%.</w:t>
      </w:r>
    </w:p>
    <w:p>
      <w:r>
        <w:rPr>
          <w:rFonts w:ascii="Times New Roman" w:hAnsi="Times New Roman"/>
          <w:b/>
          <w:sz w:val="26"/>
        </w:rPr>
        <w:t>Discussion</w:t>
      </w:r>
    </w:p>
    <w:p>
      <w:r>
        <w:t>This study evaluated an admission-time ACS mortality triage model with a priori operating rules and internally validated performance. The model flagged 37.5% of patients and captured 172 of 209 deaths. After the 25/50/25 tier split, HIGH plus INTERMEDIATE escalation identified 158 deaths, giving overall sensitivity 75.6% and NPV 96.1%. The HIGH tier was clinically enriched, with 88 deaths among 170 patients and PPV 51.8%. The main value of the protocol is its direct mapping from a probability score to monitoring consideration at the referral center.</w:t>
      </w:r>
    </w:p>
    <w:p>
      <w:r>
        <w:t>Clinical use should remain advisory. A HIGH RISK result can support consideration of ICU monitoring, and an INTERMEDIATE result can support consideration of HCU monitoring, but the treating physician retains all placement and treatment decisions. A LOW result should not be read as absence of risk. 14 flagged patients in the LOW tier died, and 37 deaths occurred below the screening threshold. These deaths matter because triage must enrich a high-risk group while keeping residual risk visible. The system therefore belongs in a prospective workflow that pairs the tier with bedside reassessment, repeat vital signs, and clinician review.</w:t>
      </w:r>
    </w:p>
    <w:p>
      <w:r>
        <w:t>The a priori operating point also makes prospective use auditable. A referral center can record how often HIGH and INTERMEDIATE results led to monitored care, how often clinicians overrode the suggestion, and whether missed deaths shared recognizable bedside features. Because the threshold and tier split are prespecified, future monitoring can separate model performance from implementation behavior. That distinction is important: poor uptake, delayed laboratory availability, and lack of monitored beds weaken clinical effect even when statistical performance remains stable. The audit should also track alert burden, time to clinician review, escalation delays, and reasons for disagreement.</w:t>
      </w:r>
    </w:p>
    <w:p>
      <w:r>
        <w:t>The comparison with GRACE needs careful interpretation. GRACE has broad external evidence and remains a reference score in ACS risk assessment [3,4]. The local model had AUC 0.843 compared with GRACE 2.0 AUC 0.816 on the same cohort, with an AUC difference of 0.027 and DeLong p = 0.021. That modest difference is relevant for a referral-center monitoring protocol, but it is not a claim that a single-center model supersedes GRACE. Both are decision-support tools. GRACE provides a general benchmark; the local model translates routine admission variables into a prespecified monitoring tier.</w:t>
      </w:r>
    </w:p>
    <w:p>
      <w:r>
        <w:t>The look-ahead analysis is a methodological finding. Adding cardiogenic shock raised sensitivity to 90.4% and AUC to 0.938, which looks attractive until the timing of the variable is considered. Cardiogenic shock can be recorded after admission, and 143 patients with cardiogenic shock had no Killip class IV. Including that variable would let the model use information unavailable at the triage decision point. Reporting the inflated result makes the bias visible and justifies limiting the main model to admission-time variables.</w:t>
      </w:r>
    </w:p>
    <w:p>
      <w:r>
        <w:t>The predictor pattern also has clinical coherence. Killip class had the highest variable importance at approximately 0.152, consistent with the central role of heart failure severity in early ACS mortality. Urea was next at approximately 0.138 and eGFR followed at approximately 0.120, making renal status a dominant signal. The kidney is an early sensor of hypoperfusion, venous congestion, neurohormonal activation, and chronic reserve. Systolic blood pressure and systemic immune-inflammation index were each approximately 0.090, linking hemodynamic compromise with inflammatory burden. Oxygen need above 5 L/min was approximately 0.084 and marked respiratory distress with limited cardiopulmonary reserve. These variables are not abstract statistical constructs; they describe physiology clinicians already monitor.</w:t>
      </w:r>
    </w:p>
    <w:p>
      <w:r>
        <w:t>The resource-limited projection is deliberately narrow. At the referral center, the model can be studied as a way to structure ICU, HCU, and ward monitoring discussions. District or network deployment is hypothetical and requires external validation. Transferability cannot be assumed because treatment availability, referral delays, competing bed constraints, and facility-level case mix can alter both predictor distributions and outcomes. A facility with fewer monitored beds can experience a treatment paradox: patients flagged as high risk receive different care precisely because the model identifies them, and observed mortality changes after implementation.</w:t>
      </w:r>
    </w:p>
    <w:p>
      <w:r>
        <w:t>Several limitations remain. This was a single-center retrospective study with internal validation only. External validation pending. The event count was modest, even though EPV was 14.3. PPV was bounded by the 11.5% mortality prevalence, so many escalated patients survived. Missing data were handled with median imputation within each cross-validation fold, but missingness can still reflect clinical workflow and illness severity. Registry labels can contain timing noise, particularly for shock-related variables. The analysis did not include temporal validation, prospective impact assessment, clinician adherence, or calibration monitoring after deployment. These limitations define the next evaluation step: a prospective referral-center study with external validation before broader use.</w:t>
      </w:r>
    </w:p>
    <w:p>
      <w:r>
        <w:rPr>
          <w:rFonts w:ascii="Times New Roman" w:hAnsi="Times New Roman"/>
          <w:b/>
          <w:sz w:val="26"/>
        </w:rPr>
        <w:t>Conclusion</w:t>
      </w:r>
    </w:p>
    <w:p>
      <w:r>
        <w:t>An admission-time random forest model identified ACS patients at higher risk of in-hospital death and mapped them to advisory referral-center monitoring tiers. The prespecified protocol captured 158 of 209 deaths after escalation while keeping decisions with the treating physician. The results support prospective referral-center testing with explicit monitoring of clinical workflow. External validation is required before broader use.</w:t>
      </w:r>
    </w:p>
    <w:p>
      <w:r>
        <w:t>Conflicts of Interest: The authors declare no conflicts of interest.</w:t>
      </w:r>
    </w:p>
    <w:p>
      <w:r>
        <w:rPr>
          <w:rFonts w:ascii="Times New Roman" w:hAnsi="Times New Roman"/>
          <w:b/>
          <w:sz w:val="26"/>
        </w:rPr>
        <w:t>References</w:t>
      </w:r>
    </w:p>
    <w:p>
      <w:r>
        <w:t>1. Collet JP, Thiele H, Barbato E, et al. 2020 ESC Guidelines for the management of acute coronary syndromes in patients presenting without persistent ST-segment elevation. Eur Heart J. 2021;42:1289-1367. doi:10.1093/eurheartj/ehaa575.</w:t>
      </w:r>
    </w:p>
    <w:p>
      <w:r>
        <w:t>2. Byrne RA, Rossello X, Coughlan JJ, et al. 2023 ESC Guidelines for the management of acute coronary syndromes. Eur Heart J. 2023;44:3720-3826. doi:10.1093/eurheartj/ehad191.</w:t>
      </w:r>
    </w:p>
    <w:p>
      <w:r>
        <w:t>3. Fox KAA, Dabbous OH, Goldberg RJ, et al. Prediction of risk of death and myocardial infarction in the six months after presentation with acute coronary syndrome: prospective multinational observational study (GRACE). BMJ. 2006;333:1091. doi:10.1136/bmj.38985.646481.55.</w:t>
      </w:r>
    </w:p>
    <w:p>
      <w:r>
        <w:t>4. Granger CB, Goldberg RJ, Dabbous O, et al. Predictors of hospital mortality in the Global Registry of Acute Coronary Events. Arch Intern Med. 2003;163:2345-2353. doi:10.1001/archinte.163.19.2345.</w:t>
      </w:r>
    </w:p>
    <w:p>
      <w:r>
        <w:t>5. Killip T 3rd, Kimball JT. Treatment of myocardial infarction in a coronary care unit: a two year experience with 250 patients. Am J Cardiol. 1967;20(4):457-464. doi:10.1016/0002-9149(67)90023-9.</w:t>
      </w:r>
    </w:p>
    <w:p>
      <w:r>
        <w:t>6. Breiman L. Random forests. Mach Learn. 2001;45:5-32. doi:10.1023/A:1010933404324.</w:t>
      </w:r>
    </w:p>
    <w:p>
      <w:r>
        <w:t>7. Collins GS, Moons KGM, Dhiman P, et al. TRIPOD+AI statement: updated guidance for reporting clinical prediction models that use regression or machine learning methods. BMJ. 2024;385:e078378. doi:10.1136/bmj-2023-078378.</w:t>
      </w:r>
    </w:p>
    <w:p>
      <w:r>
        <w:t>8. van Smeden M, Moons KGM, de Groot JAH, et al. Sample size for binary logistic prediction models: beyond events per variable criteria. Stat Methods Med Res. 2019;28(8):2455-2474. doi:10.1177/0962280218784726.</w:t>
      </w:r>
    </w:p>
    <w:p>
      <w:r>
        <w:t>9. Steyerberg EW, Uno H, Ioannidis JPA, et al. Poor performance of clinical prediction models: the harm of commonly applied methods. J Clin Epidemiol. 2018;98:133-143. doi:10.1016/j.jclinepi.2017.11.013.</w:t>
      </w:r>
    </w:p>
    <w:p>
      <w:r>
        <w:t>10. Van Calster B, McLernon DJ, van Smeden M, Wynants L, Steyerberg EW. Calibration: the Achilles heel of predictive analytics. BMC Med. 2019;17:230. doi:10.1186/s12916-019-1466-7.</w:t>
      </w:r>
    </w:p>
    <w:p>
      <w:r>
        <w:t>11. DeLong ER, DeLong DM, Clarke-Pearson DL. Comparing the areas under two or more correlated receiver operating characteristic curves: a nonparametric approach. Biometrics. 1988;44(3):837-845. doi:10.2307/2531595.</w:t>
      </w:r>
    </w:p>
    <w:p>
      <w:r>
        <w:t>12. Vickers AJ, Elkin EB. Decision curve analysis: a novel method for evaluating prediction models. Med Decis Making. 2006;26(6):565-574. doi:10.1177/0272989X06295361.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