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August 3, 2026</w:t>
      </w:r>
    </w:p>
    <w:p/>
    <w:p>
      <w:r>
        <w:t>The Editor-in-Chief</w:t>
      </w:r>
    </w:p>
    <w:p>
      <w:r>
        <w:t>[Journal name and address]</w:t>
      </w:r>
    </w:p>
    <w:p/>
    <w:p>
      <w:r>
        <w:t>Re: Submission of original article — "A Pragmatically Calibrated Machine Learning Triage System for In-Hospital Mortality in Acute Coronary Syndromes"</w:t>
      </w:r>
    </w:p>
    <w:p/>
    <w:p>
      <w:r>
        <w:t>Dear Editor,</w:t>
      </w:r>
    </w:p>
    <w:p/>
    <w:p>
      <w:r>
        <w:t>We wish to submit our original research article, entitled "A Pragmatically Calibrated Machine Learning Triage System for In-Hospital Mortality in Acute Coronary Syndromes," for consideration for publication in [Journal Name].</w:t>
      </w:r>
    </w:p>
    <w:p/>
    <w:p>
      <w:r>
        <w:t>The study develops and internally validates an admission-time triage model for patients with acute coronary syndrome, using twelve routine clinical variables that are available within the first hour of presentation. In a registry of 1,817 patients, the model identified a high-risk subgroup for referral-center monitoring consideration, with a prespecified threshold and tier protocol designed for practical use in settings with limited monitored-bed capacity. Its discrimination was comparable to GRACE 2.0 on the same cohort (AUC 0.843 versus 0.816), and we report calibration, decision-curve, and threshold trade-off analyses. The study is reported in accordance with the TRIPOD+AI statement.</w:t>
      </w:r>
    </w:p>
    <w:p/>
    <w:p>
      <w:r>
        <w:t>We believe the manuscript fits the journal's scope because it addresses a practical problem in resource-limited cardiovascular care: translating a probability score into monitoring decisions (ICU, high-care, or ward) rather than only labeling risk. All analyses used de-identified registry data, and the study was approved by the Health Research Ethics Committee of the Faculty of Medicine, Universitas Hasanuddin (approval number 890/UN4.6.4.5.31/PP36/2026).</w:t>
      </w:r>
    </w:p>
    <w:p/>
    <w:p>
      <w:r>
        <w:t>This manuscript is original, has not been published previously, and is not under consideration by any other journal. All authors have read and approved the final version and agree to its submission. The authors declare no conflicts of interest.</w:t>
      </w:r>
    </w:p>
    <w:p/>
    <w:p>
      <w:r>
        <w:t>We thank you for considering our work.</w:t>
      </w:r>
    </w:p>
    <w:p/>
    <w:p>
      <w:r>
        <w:t>Sincerely,</w:t>
      </w:r>
    </w:p>
    <w:p/>
    <w:p>
      <w:r>
        <w:t>Izzan Rijal Muslim, MD</w:t>
      </w:r>
    </w:p>
    <w:p>
      <w:r>
        <w:t>Department of Cardiology and Vascular Medicine, Faculty of Medicine, Hasanuddin University, Makassar, Indonesia</w:t>
      </w:r>
    </w:p>
    <w:p>
      <w:r>
        <w:t>Email: izzan.rijal@gmail.com | ORCID: 0009-0005-0173-3606</w:t>
      </w:r>
    </w:p>
    <w:p>
      <w:r>
        <w:t>On behalf of all authors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