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Figure Legends</w:t>
      </w:r>
    </w:p>
    <w:p>
      <w:r>
        <w:t>Figure 1. ROC curves for the admission model and GRACE 2.0 on the same cohort.</w:t>
      </w:r>
    </w:p>
    <w:p>
      <w:r>
        <w:t>Figure 2. Calibration diagram for cross-validated admission model probabilities.</w:t>
      </w:r>
    </w:p>
    <w:p>
      <w:r>
        <w:t>Figure 3. Mortality enrichment across HIGH, INTERMEDIATE, LOW, and not-flagged groups.</w:t>
      </w:r>
    </w:p>
    <w:p>
      <w:r>
        <w:t>Figure 4. Referral-center monitoring flow with advisory ICU, HCU, and ward implications.</w:t>
      </w:r>
    </w:p>
    <w:p>
      <w:r>
        <w:t>Supplementary Figure S1. Threshold trade-off across the Youden reference and lower triage thresholds.</w:t>
      </w:r>
    </w:p>
    <w:p>
      <w:r>
        <w:t>Supplementary Figure S2. Decision curve analysis for the admission model.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