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jc w:val="center"/>
      </w:pPr>
      <w:r>
        <w:rPr>
          <w:rFonts w:ascii="Times New Roman" w:hAnsi="Times New Roman"/>
          <w:b/>
          <w:sz w:val="24"/>
        </w:rPr>
        <w:t>Izzan Rijal Muslim, MD¹; Andriany Qanitha, MD, PhD, FESC²</w:t>
      </w:r>
    </w:p>
    <w:p>
      <w:pPr>
        <w:spacing w:line="360" w:lineRule="auto"/>
      </w:pPr>
      <w:r>
        <w:rPr>
          <w:rFonts w:ascii="Times New Roman" w:hAnsi="Times New Roman"/>
          <w:sz w:val="24"/>
        </w:rPr>
        <w:t>¹ Department of Cardiology and Vascular Medicine, Faculty of Medicine, Hasanuddin University, Makassar, Indonesia</w:t>
      </w:r>
    </w:p>
    <w:p>
      <w:pPr>
        <w:spacing w:line="360" w:lineRule="auto"/>
      </w:pPr>
      <w:r>
        <w:rPr>
          <w:rFonts w:ascii="Times New Roman" w:hAnsi="Times New Roman"/>
          <w:sz w:val="24"/>
        </w:rPr>
        <w:t>² Department of Physiology, Clinical Epidemiology, Research, and Publication Unit, Faculty of Medicine, Hasanuddin University, Makassar, Indonesia</w:t>
      </w:r>
    </w:p>
    <w:p>
      <w:pPr>
        <w:spacing w:line="360" w:lineRule="auto"/>
      </w:pPr>
      <w:r>
        <w:rPr>
          <w:rFonts w:ascii="Times New Roman" w:hAnsi="Times New Roman"/>
          <w:sz w:val="24"/>
        </w:rPr>
        <w:t>ORCID: Izzan Rijal Muslim 0009-0005-0173-3606; Andriany Qanitha 0000-0003-2420-0560</w:t>
      </w:r>
    </w:p>
    <w:p>
      <w:pPr>
        <w:spacing w:line="360" w:lineRule="auto"/>
      </w:pPr>
      <w:r>
        <w:rPr>
          <w:rFonts w:ascii="Times New Roman" w:hAnsi="Times New Roman"/>
          <w:sz w:val="24"/>
        </w:rPr>
        <w:t>Corresponding author: Izzan Rijal Muslim, MD. Email: izzan.rijal@gmail.com</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3704</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At threshold 0.08, 682 patients (37.5%) were flagged, capturing 172 deaths (flagging sensitivity 82.3%, PPV 25.2%). After the fixed 25/50/25 tier split, 511 patients were escalated (HIGH plus INTERMEDIATE), capturing 158 deaths (sensitivity 75.6%, specificity 78.0%, PPV 30.9%, NPV 96.1%). The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study protocol was approved by the Health Research Ethics Committee of the Faculty of Medicine, Universitas Hasanuddin (approval number 890/UN4.6.4.5.31/PP36/2026). The analysis used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Cardiogenic shock was recorded in 422 patients in total, so 143 patients had cardiogenic shock without Killip class IV, reflecting records made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14.3;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representing shock recognized after admission. That last group is the reason cardiogenic shock was excluded from the main model: it identifies a very high-risk state, but not always one known at the admission decision point, and including it would inflate apparent triage performance.</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Urea had the highest missingness at 1.4%, followed by random glucose (1.2%) and systemic immune-inflammation index (0.9%). eGFR missingness was 0.6% after CKD-EPI 2021 derivation from creatinine, age, and sex. Complete data for all 12 model variables were present in 1,745 patients (96.0%), and 72 patients (4.0%)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682 patients (37.5%). This group included 172 deaths and 510 survivors, giving flagging sensitivity 82.3%, specificity 68.3%, PPV 25.2%, and NPV 96.7%. The term flagged refers to all patients with predicted probability at least 0.08; the term escalated, used below, refers to the subset of flagged patients placed in the HIGH or INTERMEDIATE tiers, excluding the LOW tier. The pooled out-of-fold AUC was 0.843 and the Brier score was 0.080.</w:t>
      </w:r>
    </w:p>
    <w:p>
      <w:pPr>
        <w:spacing w:line="360" w:lineRule="auto"/>
      </w:pPr>
      <w:r>
        <w:rPr>
          <w:rFonts w:ascii="Times New Roman" w:hAnsi="Times New Roman"/>
          <w:sz w:val="24"/>
        </w:rP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1.076, calibration-in-the-large was 0.015, O:E ratio was 1.014, and ECE was 0.017.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170 patients, 88 deaths, and PPV 51.8%. The INTERMEDIATE tier included 341 patients, 70 deaths, and PPV 20.5%. The LOW tier included 171 patients, 14 deaths, and PPV 8.2%. HIGH plus INTERMEDIATE contained 158 deaths, equal to 91.9% of the 172 flagged deaths (75.6% of all 209 deaths).</w:t>
      </w:r>
    </w:p>
    <w:p>
      <w:pPr>
        <w:spacing w:line="360" w:lineRule="auto"/>
      </w:pPr>
      <w:r>
        <w:rPr>
          <w:rFonts w:ascii="Times New Roman" w:hAnsi="Times New Roman"/>
          <w:sz w:val="24"/>
        </w:rPr>
        <w:t>For the full triage system, 511 patients were escalated, equal to 28.1% of the cohort. The confusion matrix was TP 158, FP 353, FN 51, and TN 1,255,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 Figure 4 illustrates the proposed referral-center workflow, mapping HIGH, INTERMEDIATE, and LOW tiers to advisory ICU, HCU, and ward monitoring considerations.</w:t>
      </w:r>
    </w:p>
    <w:p>
      <w:pPr>
        <w:spacing w:line="360" w:lineRule="auto"/>
      </w:pPr>
      <w:r>
        <w:rPr>
          <w:rFonts w:ascii="Times New Roman" w:hAnsi="Times New Roman"/>
          <w:sz w:val="24"/>
        </w:rP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 Decision curve analysis (Supplementary Figure S2) showed that the admission model provided positive net benefit across the full range of threshold probabilities examined (1% to 40%) and exceeded the treat-all and treat-none strategies, supporting its potential utility for triage decisions.</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37.5% of patients and captured 172 of 209 deaths. After the fixed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14 flagged patients in the LOW tier died, and 37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0.843 compared with GRACE 2.0 AUC 0.816 on the same cohort, with an AUC difference of 0.027 and DeLong p = 0.021.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Conflicts of Interest: The authors declare no conflicts of interest.</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82.5 (26.8)</w:t>
            </w:r>
          </w:p>
        </w:tc>
        <w:tc>
          <w:tcPr>
            <w:tcW w:type="dxa" w:w="2268"/>
          </w:tcPr>
          <w:p>
            <w:pPr>
              <w:spacing w:line="360" w:lineRule="auto"/>
            </w:pPr>
            <w:r>
              <w:rPr>
                <w:rFonts w:ascii="Times New Roman" w:hAnsi="Times New Roman"/>
                <w:sz w:val="24"/>
              </w:rPr>
              <w:t>54.4 (28.4)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0.843</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0.027</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0.021</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1.076</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170</w:t>
            </w:r>
          </w:p>
        </w:tc>
        <w:tc>
          <w:tcPr>
            <w:tcW w:type="dxa" w:w="2268"/>
          </w:tcPr>
          <w:p>
            <w:pPr>
              <w:spacing w:line="360" w:lineRule="auto"/>
            </w:pPr>
            <w:r>
              <w:rPr>
                <w:rFonts w:ascii="Times New Roman" w:hAnsi="Times New Roman"/>
                <w:sz w:val="24"/>
              </w:rPr>
              <w:t>88</w:t>
            </w:r>
          </w:p>
        </w:tc>
        <w:tc>
          <w:tcPr>
            <w:tcW w:type="dxa" w:w="2268"/>
          </w:tcPr>
          <w:p>
            <w:pPr>
              <w:spacing w:line="360" w:lineRule="auto"/>
            </w:pPr>
            <w:r>
              <w:rPr>
                <w:rFonts w:ascii="Times New Roman" w:hAnsi="Times New Roman"/>
                <w:sz w:val="24"/>
              </w:rPr>
              <w:t>51.8%</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341</w:t>
            </w:r>
          </w:p>
        </w:tc>
        <w:tc>
          <w:tcPr>
            <w:tcW w:type="dxa" w:w="2268"/>
          </w:tcPr>
          <w:p>
            <w:pPr>
              <w:spacing w:line="360" w:lineRule="auto"/>
            </w:pPr>
            <w:r>
              <w:rPr>
                <w:rFonts w:ascii="Times New Roman" w:hAnsi="Times New Roman"/>
                <w:sz w:val="24"/>
              </w:rPr>
              <w:t>70</w:t>
            </w:r>
          </w:p>
        </w:tc>
        <w:tc>
          <w:tcPr>
            <w:tcW w:type="dxa" w:w="2268"/>
          </w:tcPr>
          <w:p>
            <w:pPr>
              <w:spacing w:line="360" w:lineRule="auto"/>
            </w:pPr>
            <w:r>
              <w:rPr>
                <w:rFonts w:ascii="Times New Roman" w:hAnsi="Times New Roman"/>
                <w:sz w:val="24"/>
              </w:rPr>
              <w:t>20.5%</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171</w:t>
            </w:r>
          </w:p>
        </w:tc>
        <w:tc>
          <w:tcPr>
            <w:tcW w:type="dxa" w:w="2268"/>
          </w:tcPr>
          <w:p>
            <w:pPr>
              <w:spacing w:line="360" w:lineRule="auto"/>
            </w:pPr>
            <w:r>
              <w:rPr>
                <w:rFonts w:ascii="Times New Roman" w:hAnsi="Times New Roman"/>
                <w:sz w:val="24"/>
              </w:rPr>
              <w:t>14</w:t>
            </w:r>
          </w:p>
        </w:tc>
        <w:tc>
          <w:tcPr>
            <w:tcW w:type="dxa" w:w="2268"/>
          </w:tcPr>
          <w:p>
            <w:pPr>
              <w:spacing w:line="360" w:lineRule="auto"/>
            </w:pPr>
            <w:r>
              <w:rPr>
                <w:rFonts w:ascii="Times New Roman" w:hAnsi="Times New Roman"/>
                <w:sz w:val="24"/>
              </w:rPr>
              <w:t>8.2%</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1135</w:t>
            </w:r>
          </w:p>
        </w:tc>
        <w:tc>
          <w:tcPr>
            <w:tcW w:type="dxa" w:w="2268"/>
          </w:tcPr>
          <w:p>
            <w:pPr>
              <w:spacing w:line="360" w:lineRule="auto"/>
            </w:pPr>
            <w:r>
              <w:rPr>
                <w:rFonts w:ascii="Times New Roman" w:hAnsi="Times New Roman"/>
                <w:sz w:val="24"/>
              </w:rPr>
              <w:t>37</w:t>
            </w:r>
          </w:p>
        </w:tc>
        <w:tc>
          <w:tcPr>
            <w:tcW w:type="dxa" w:w="2268"/>
          </w:tcPr>
          <w:p>
            <w:pPr>
              <w:spacing w:line="360" w:lineRule="auto"/>
            </w:pPr>
            <w:r>
              <w:rPr>
                <w:rFonts w:ascii="Times New Roman" w:hAnsi="Times New Roman"/>
                <w:sz w:val="24"/>
              </w:rPr>
              <w:t>3.3%</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10</w:t>
            </w:r>
          </w:p>
        </w:tc>
        <w:tc>
          <w:tcPr>
            <w:tcW w:type="dxa" w:w="3024"/>
          </w:tcPr>
          <w:p>
            <w:pPr>
              <w:spacing w:line="360" w:lineRule="auto"/>
            </w:pPr>
            <w:r>
              <w:rPr>
                <w:rFonts w:ascii="Times New Roman" w:hAnsi="Times New Roman"/>
                <w:sz w:val="24"/>
              </w:rPr>
              <w:t>0.6%</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201</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436</w:t>
            </w:r>
          </w:p>
        </w:tc>
        <w:tc>
          <w:tcPr>
            <w:tcW w:type="dxa" w:w="1134"/>
          </w:tcPr>
          <w:p>
            <w:pPr>
              <w:spacing w:line="360" w:lineRule="auto"/>
            </w:pPr>
            <w:r>
              <w:rPr>
                <w:rFonts w:ascii="Times New Roman" w:hAnsi="Times New Roman"/>
                <w:sz w:val="24"/>
              </w:rPr>
              <w:t>327</w:t>
            </w:r>
          </w:p>
        </w:tc>
        <w:tc>
          <w:tcPr>
            <w:tcW w:type="dxa" w:w="1134"/>
          </w:tcPr>
          <w:p>
            <w:pPr>
              <w:spacing w:line="360" w:lineRule="auto"/>
            </w:pPr>
            <w:r>
              <w:rPr>
                <w:rFonts w:ascii="Times New Roman" w:hAnsi="Times New Roman"/>
                <w:sz w:val="24"/>
              </w:rPr>
              <w:t>38.5%</w:t>
            </w:r>
          </w:p>
        </w:tc>
        <w:tc>
          <w:tcPr>
            <w:tcW w:type="dxa" w:w="1134"/>
          </w:tcPr>
          <w:p>
            <w:pPr>
              <w:spacing w:line="360" w:lineRule="auto"/>
            </w:pPr>
            <w:r>
              <w:rPr>
                <w:rFonts w:ascii="Times New Roman" w:hAnsi="Times New Roman"/>
                <w:sz w:val="24"/>
              </w:rPr>
              <w:t>87.5%</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293</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586</w:t>
            </w:r>
          </w:p>
        </w:tc>
        <w:tc>
          <w:tcPr>
            <w:tcW w:type="dxa" w:w="1134"/>
          </w:tcPr>
          <w:p>
            <w:pPr>
              <w:spacing w:line="360" w:lineRule="auto"/>
            </w:pPr>
            <w:r>
              <w:rPr>
                <w:rFonts w:ascii="Times New Roman" w:hAnsi="Times New Roman"/>
                <w:sz w:val="24"/>
              </w:rPr>
              <w:t>439</w:t>
            </w:r>
          </w:p>
        </w:tc>
        <w:tc>
          <w:tcPr>
            <w:tcW w:type="dxa" w:w="1134"/>
          </w:tcPr>
          <w:p>
            <w:pPr>
              <w:spacing w:line="360" w:lineRule="auto"/>
            </w:pPr>
            <w:r>
              <w:rPr>
                <w:rFonts w:ascii="Times New Roman" w:hAnsi="Times New Roman"/>
                <w:sz w:val="24"/>
              </w:rPr>
              <w:t>33.3%</w:t>
            </w:r>
          </w:p>
        </w:tc>
        <w:tc>
          <w:tcPr>
            <w:tcW w:type="dxa" w:w="1134"/>
          </w:tcPr>
          <w:p>
            <w:pPr>
              <w:spacing w:line="360" w:lineRule="auto"/>
            </w:pPr>
            <w:r>
              <w:rPr>
                <w:rFonts w:ascii="Times New Roman" w:hAnsi="Times New Roman"/>
                <w:sz w:val="24"/>
              </w:rPr>
              <w:t>81.8%</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353</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511</w:t>
            </w:r>
          </w:p>
        </w:tc>
        <w:tc>
          <w:tcPr>
            <w:tcW w:type="dxa" w:w="1134"/>
          </w:tcPr>
          <w:p>
            <w:pPr>
              <w:spacing w:line="360" w:lineRule="auto"/>
            </w:pPr>
            <w:r>
              <w:rPr>
                <w:rFonts w:ascii="Times New Roman" w:hAnsi="Times New Roman"/>
                <w:sz w:val="24"/>
              </w:rPr>
              <w:t>30.9%</w:t>
            </w:r>
          </w:p>
        </w:tc>
        <w:tc>
          <w:tcPr>
            <w:tcW w:type="dxa" w:w="1134"/>
          </w:tcPr>
          <w:p>
            <w:pPr>
              <w:spacing w:line="360" w:lineRule="auto"/>
            </w:pPr>
            <w:r>
              <w:rPr>
                <w:rFonts w:ascii="Times New Roman" w:hAnsi="Times New Roman"/>
                <w:sz w:val="24"/>
              </w:rPr>
              <w:t>78.0%</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81.8%</w:t>
            </w:r>
          </w:p>
        </w:tc>
        <w:tc>
          <w:tcPr>
            <w:tcW w:type="dxa" w:w="1134"/>
          </w:tcPr>
          <w:p>
            <w:pPr>
              <w:spacing w:line="360" w:lineRule="auto"/>
            </w:pPr>
            <w:r>
              <w:rPr>
                <w:rFonts w:ascii="Times New Roman" w:hAnsi="Times New Roman"/>
                <w:sz w:val="24"/>
              </w:rPr>
              <w:t>499</w:t>
            </w:r>
          </w:p>
        </w:tc>
        <w:tc>
          <w:tcPr>
            <w:tcW w:type="dxa" w:w="1134"/>
          </w:tcPr>
          <w:p>
            <w:pPr>
              <w:spacing w:line="360" w:lineRule="auto"/>
            </w:pPr>
            <w:r>
              <w:rPr>
                <w:rFonts w:ascii="Times New Roman" w:hAnsi="Times New Roman"/>
                <w:sz w:val="24"/>
              </w:rPr>
              <w:t>38</w:t>
            </w:r>
          </w:p>
        </w:tc>
        <w:tc>
          <w:tcPr>
            <w:tcW w:type="dxa" w:w="1134"/>
          </w:tcPr>
          <w:p>
            <w:pPr>
              <w:spacing w:line="360" w:lineRule="auto"/>
            </w:pPr>
            <w:r>
              <w:rPr>
                <w:rFonts w:ascii="Times New Roman" w:hAnsi="Times New Roman"/>
                <w:sz w:val="24"/>
              </w:rPr>
              <w:t>894</w:t>
            </w:r>
          </w:p>
        </w:tc>
        <w:tc>
          <w:tcPr>
            <w:tcW w:type="dxa" w:w="1134"/>
          </w:tcPr>
          <w:p>
            <w:pPr>
              <w:spacing w:line="360" w:lineRule="auto"/>
            </w:pPr>
            <w:r>
              <w:rPr>
                <w:rFonts w:ascii="Times New Roman" w:hAnsi="Times New Roman"/>
                <w:sz w:val="24"/>
              </w:rPr>
              <w:t>670</w:t>
            </w:r>
          </w:p>
        </w:tc>
        <w:tc>
          <w:tcPr>
            <w:tcW w:type="dxa" w:w="1134"/>
          </w:tcPr>
          <w:p>
            <w:pPr>
              <w:spacing w:line="360" w:lineRule="auto"/>
            </w:pPr>
            <w:r>
              <w:rPr>
                <w:rFonts w:ascii="Times New Roman" w:hAnsi="Times New Roman"/>
                <w:sz w:val="24"/>
              </w:rPr>
              <w:t>25.5%</w:t>
            </w:r>
          </w:p>
        </w:tc>
        <w:tc>
          <w:tcPr>
            <w:tcW w:type="dxa" w:w="1134"/>
          </w:tcPr>
          <w:p>
            <w:pPr>
              <w:spacing w:line="360" w:lineRule="auto"/>
            </w:pPr>
            <w:r>
              <w:rPr>
                <w:rFonts w:ascii="Times New Roman" w:hAnsi="Times New Roman"/>
                <w:sz w:val="24"/>
              </w:rPr>
              <w:t>69.0%</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3704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