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3457</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The threshold flagged 691 patients and captured 173 deaths. HIGH, INTERMEDIATE, and LOW tiers had 87, 71, and 15 deaths, with PPV 50.6%, 20.6%, and 8.6%. HIGH plus INTERMEDIATE escalation had sensitivity 75.6%, specificity 77.7%, PPV 30.6%, and NPV 96.1%. The model AUC was 0.842 and GRACE 2.0 AUC was 0.816 on the same cohort. Calibration slope was 1.088, calibration-in-the-large 0.017, O:E 1.015, and ECE 0.018.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single-stage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local ethics process approved use of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there were 279 Killip IV patients, 422 patients with cardiogenic shock, 278 with shock on arrival, 278 with both flags, 144 with cardiogenic shock without shock on arrival, and no patient with shock on arrival without cardiogenic shock.</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variable can be recorded after admission, while shock on arrival is an admission-time clinical state. Therefore, shock on arrival could inform presentation status, but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eGFR had the highest missingness at 6.7%. Complete data for all 12 model variables were present in 1,648 patients (90.7%), while any missingness among the 12 variables occurred in 169 patients (9.3%).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14.4;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164 additional false positives, with escalated patients rising from 321 to 517.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The shock cross-tabs showed clinically important timing differences. Death rates were 37.1% among patients with shock on arrival, 43.6% among patients with cardiogenic shock, and 56.2% among the 144 patients who had cardiogenic shock without shock on arrival. That last group is the reason cardiogenic shock was excluded from the main model: it identifies a very high-risk state, but not always one known at the admission decision point.</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eGFR had the highest missingness at 6.7%, followed by urea and random glucose. Complete data for all 12 model variables were present in 1,648 patients (90.7%), and 169 patients (9.3%)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Stage 1 flagged 691 patients. This group included 173 deaths and 518 survivors, giving sensitivity 82.8%, specificity 67.8%, PPV 25.0%, and NPV 96.8%. The pooled out-of-fold AUC was 0.842 and the Brier score was 0.080.</w:t>
      </w:r>
    </w:p>
    <w:p>
      <w:pPr>
        <w:spacing w:line="360" w:lineRule="auto"/>
      </w:pPr>
      <w:r>
        <w:rPr>
          <w:rFonts w:ascii="Times New Roman" w:hAnsi="Times New Roman"/>
          <w:sz w:val="24"/>
        </w:rPr>
        <w:t>GRACE 2.0 AUC on the same cohort was 0.816. The AUC difference was 0.025, with DeLong p = 0.026 and 95% CI 0.003 to 0.048.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1.088, calibration-in-the-large was 0.017, O:E ratio was 1.015, and ECE was 0.018.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172 patients, 87 deaths, and PPV 50.6%. The INTERMEDIATE tier included 345 patients, 71 deaths, and PPV 20.6%. The LOW tier included 174 patients, 15 deaths, and PPV 8.6%. HIGH plus INTERMEDIATE contained 158 deaths, equal to 91.3% of flagged deaths.</w:t>
      </w:r>
    </w:p>
    <w:p>
      <w:pPr>
        <w:spacing w:line="360" w:lineRule="auto"/>
      </w:pPr>
      <w:r>
        <w:rPr>
          <w:rFonts w:ascii="Times New Roman" w:hAnsi="Times New Roman"/>
          <w:sz w:val="24"/>
        </w:rPr>
        <w:t>For the full triage system, 517 patients were escalated, equal to 28.5% of the cohort. The confusion matrix was TP 158, FP 359, FN 51, and TN 1,249, summing to 1,817 patients. Overall sensitivity was 75.6% (158/209), specificity 77.7%, accuracy 77.4%, PPV 30.6%, and NPV 96.1%. Missed deaths were 51 of 209 (24.4%): 36 patients were not flagged at Stage 1 and 15 were flagged but placed in the LOW tier. The 91.3% figure is secondary and uses a different denominator, 158 of 173 flagged deaths.</w:t>
      </w:r>
    </w:p>
    <w:p>
      <w:pPr>
        <w:spacing w:line="360" w:lineRule="auto"/>
      </w:pPr>
      <w:r>
        <w:rPr>
          <w:rFonts w:ascii="Times New Roman" w:hAnsi="Times New Roman"/>
          <w:sz w:val="24"/>
        </w:rPr>
        <w:t>The threshold trade-off followed the expected pattern. At the Youden reference threshold of 0.1513, sensitivity was 60.3%, false positives were 195, and 321 patients were escalated. At 0.10, sensitivity was 69.9%, false positives were 298, and 444 patients were escalated. At 0.08, sensitivity was 75.6%, false positives were 359, and 517 patients were escalated. At 0.05, sensitivity rose to 82.8%, but false positives increased to 509 and escalated patients to 682. The selected 0.08 threshold therefore retained a safety margin without escalating more than one third of the cohort.</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90.9%, HIGH-tier PPV to 62.0%, and AUC to 0.938. Cardiogenic shock was not used in the main model to avoid look-ahead bias; including it inflates apparent performance. The mechanism is visible in the registry timing: 144 of 422 patients with cardiogenic shock had no shock flag on arrival, and their mortality was 56.2%.</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38.0% of patients at Stage 1 and captured 173 of 209 deaths. After the fixed 25/50/25 tier split, HIGH plus INTERMEDIATE escalation identified 158 deaths, giving overall sensitivity 75.6% and NPV 96.1%. The HIGH tier was clinically enriched, with 87 deaths among 172 patients and PPV 50.6%.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Fifteen flagged patients in the LOW tier died, and 36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0.842 compared with GRACE 2.0 AUC 0.816 on the same cohort, with an AUC difference of 0.025 and DeLong p = 0.026.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90.9% and AUC to 0.938, which looks attractive until the timing of the variable is considered. Cardiogenic shock can be recorded after admission, and 144 patients with cardiogenic shock had no shock flag on arrival.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14.4.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 single-stage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82.2 (27.0)</w:t>
            </w:r>
          </w:p>
        </w:tc>
        <w:tc>
          <w:tcPr>
            <w:tcW w:type="dxa" w:w="2268"/>
          </w:tcPr>
          <w:p>
            <w:pPr>
              <w:spacing w:line="360" w:lineRule="auto"/>
            </w:pPr>
            <w:r>
              <w:rPr>
                <w:rFonts w:ascii="Times New Roman" w:hAnsi="Times New Roman"/>
                <w:sz w:val="24"/>
              </w:rPr>
              <w:t>53.2 (28.2)</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0.842</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0.025</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0.026</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1.088</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172</w:t>
            </w:r>
          </w:p>
        </w:tc>
        <w:tc>
          <w:tcPr>
            <w:tcW w:type="dxa" w:w="2268"/>
          </w:tcPr>
          <w:p>
            <w:pPr>
              <w:spacing w:line="360" w:lineRule="auto"/>
            </w:pPr>
            <w:r>
              <w:rPr>
                <w:rFonts w:ascii="Times New Roman" w:hAnsi="Times New Roman"/>
                <w:sz w:val="24"/>
              </w:rPr>
              <w:t>87</w:t>
            </w:r>
          </w:p>
        </w:tc>
        <w:tc>
          <w:tcPr>
            <w:tcW w:type="dxa" w:w="2268"/>
          </w:tcPr>
          <w:p>
            <w:pPr>
              <w:spacing w:line="360" w:lineRule="auto"/>
            </w:pPr>
            <w:r>
              <w:rPr>
                <w:rFonts w:ascii="Times New Roman" w:hAnsi="Times New Roman"/>
                <w:sz w:val="24"/>
              </w:rPr>
              <w:t>50.6%</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345</w:t>
            </w:r>
          </w:p>
        </w:tc>
        <w:tc>
          <w:tcPr>
            <w:tcW w:type="dxa" w:w="2268"/>
          </w:tcPr>
          <w:p>
            <w:pPr>
              <w:spacing w:line="360" w:lineRule="auto"/>
            </w:pPr>
            <w:r>
              <w:rPr>
                <w:rFonts w:ascii="Times New Roman" w:hAnsi="Times New Roman"/>
                <w:sz w:val="24"/>
              </w:rPr>
              <w:t>71</w:t>
            </w:r>
          </w:p>
        </w:tc>
        <w:tc>
          <w:tcPr>
            <w:tcW w:type="dxa" w:w="2268"/>
          </w:tcPr>
          <w:p>
            <w:pPr>
              <w:spacing w:line="360" w:lineRule="auto"/>
            </w:pPr>
            <w:r>
              <w:rPr>
                <w:rFonts w:ascii="Times New Roman" w:hAnsi="Times New Roman"/>
                <w:sz w:val="24"/>
              </w:rPr>
              <w:t>20.6%</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174</w:t>
            </w:r>
          </w:p>
        </w:tc>
        <w:tc>
          <w:tcPr>
            <w:tcW w:type="dxa" w:w="2268"/>
          </w:tcPr>
          <w:p>
            <w:pPr>
              <w:spacing w:line="360" w:lineRule="auto"/>
            </w:pPr>
            <w:r>
              <w:rPr>
                <w:rFonts w:ascii="Times New Roman" w:hAnsi="Times New Roman"/>
                <w:sz w:val="24"/>
              </w:rPr>
              <w:t>15</w:t>
            </w:r>
          </w:p>
        </w:tc>
        <w:tc>
          <w:tcPr>
            <w:tcW w:type="dxa" w:w="2268"/>
          </w:tcPr>
          <w:p>
            <w:pPr>
              <w:spacing w:line="360" w:lineRule="auto"/>
            </w:pPr>
            <w:r>
              <w:rPr>
                <w:rFonts w:ascii="Times New Roman" w:hAnsi="Times New Roman"/>
                <w:sz w:val="24"/>
              </w:rPr>
              <w:t>8.6%</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1126</w:t>
            </w:r>
          </w:p>
        </w:tc>
        <w:tc>
          <w:tcPr>
            <w:tcW w:type="dxa" w:w="2268"/>
          </w:tcPr>
          <w:p>
            <w:pPr>
              <w:spacing w:line="360" w:lineRule="auto"/>
            </w:pPr>
            <w:r>
              <w:rPr>
                <w:rFonts w:ascii="Times New Roman" w:hAnsi="Times New Roman"/>
                <w:sz w:val="24"/>
              </w:rPr>
              <w:t>36</w:t>
            </w:r>
          </w:p>
        </w:tc>
        <w:tc>
          <w:tcPr>
            <w:tcW w:type="dxa" w:w="2268"/>
          </w:tcPr>
          <w:p>
            <w:pPr>
              <w:spacing w:line="360" w:lineRule="auto"/>
            </w:pPr>
            <w:r>
              <w:rPr>
                <w:rFonts w:ascii="Times New Roman" w:hAnsi="Times New Roman"/>
                <w:sz w:val="24"/>
              </w:rPr>
              <w:t>3.2%</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122</w:t>
            </w:r>
          </w:p>
        </w:tc>
        <w:tc>
          <w:tcPr>
            <w:tcW w:type="dxa" w:w="3024"/>
          </w:tcPr>
          <w:p>
            <w:pPr>
              <w:spacing w:line="360" w:lineRule="auto"/>
            </w:pPr>
            <w:r>
              <w:rPr>
                <w:rFonts w:ascii="Times New Roman" w:hAnsi="Times New Roman"/>
                <w:sz w:val="24"/>
              </w:rPr>
              <w:t>6.7%</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195</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429</w:t>
            </w:r>
          </w:p>
        </w:tc>
        <w:tc>
          <w:tcPr>
            <w:tcW w:type="dxa" w:w="1134"/>
          </w:tcPr>
          <w:p>
            <w:pPr>
              <w:spacing w:line="360" w:lineRule="auto"/>
            </w:pPr>
            <w:r>
              <w:rPr>
                <w:rFonts w:ascii="Times New Roman" w:hAnsi="Times New Roman"/>
                <w:sz w:val="24"/>
              </w:rPr>
              <w:t>321</w:t>
            </w:r>
          </w:p>
        </w:tc>
        <w:tc>
          <w:tcPr>
            <w:tcW w:type="dxa" w:w="1134"/>
          </w:tcPr>
          <w:p>
            <w:pPr>
              <w:spacing w:line="360" w:lineRule="auto"/>
            </w:pPr>
            <w:r>
              <w:rPr>
                <w:rFonts w:ascii="Times New Roman" w:hAnsi="Times New Roman"/>
                <w:sz w:val="24"/>
              </w:rPr>
              <w:t>39.3%</w:t>
            </w:r>
          </w:p>
        </w:tc>
        <w:tc>
          <w:tcPr>
            <w:tcW w:type="dxa" w:w="1134"/>
          </w:tcPr>
          <w:p>
            <w:pPr>
              <w:spacing w:line="360" w:lineRule="auto"/>
            </w:pPr>
            <w:r>
              <w:rPr>
                <w:rFonts w:ascii="Times New Roman" w:hAnsi="Times New Roman"/>
                <w:sz w:val="24"/>
              </w:rPr>
              <w:t>87.9%</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298</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593</w:t>
            </w:r>
          </w:p>
        </w:tc>
        <w:tc>
          <w:tcPr>
            <w:tcW w:type="dxa" w:w="1134"/>
          </w:tcPr>
          <w:p>
            <w:pPr>
              <w:spacing w:line="360" w:lineRule="auto"/>
            </w:pPr>
            <w:r>
              <w:rPr>
                <w:rFonts w:ascii="Times New Roman" w:hAnsi="Times New Roman"/>
                <w:sz w:val="24"/>
              </w:rPr>
              <w:t>444</w:t>
            </w:r>
          </w:p>
        </w:tc>
        <w:tc>
          <w:tcPr>
            <w:tcW w:type="dxa" w:w="1134"/>
          </w:tcPr>
          <w:p>
            <w:pPr>
              <w:spacing w:line="360" w:lineRule="auto"/>
            </w:pPr>
            <w:r>
              <w:rPr>
                <w:rFonts w:ascii="Times New Roman" w:hAnsi="Times New Roman"/>
                <w:sz w:val="24"/>
              </w:rPr>
              <w:t>32.9%</w:t>
            </w:r>
          </w:p>
        </w:tc>
        <w:tc>
          <w:tcPr>
            <w:tcW w:type="dxa" w:w="1134"/>
          </w:tcPr>
          <w:p>
            <w:pPr>
              <w:spacing w:line="360" w:lineRule="auto"/>
            </w:pPr>
            <w:r>
              <w:rPr>
                <w:rFonts w:ascii="Times New Roman" w:hAnsi="Times New Roman"/>
                <w:sz w:val="24"/>
              </w:rPr>
              <w:t>81.5%</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359</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691</w:t>
            </w:r>
          </w:p>
        </w:tc>
        <w:tc>
          <w:tcPr>
            <w:tcW w:type="dxa" w:w="1134"/>
          </w:tcPr>
          <w:p>
            <w:pPr>
              <w:spacing w:line="360" w:lineRule="auto"/>
            </w:pPr>
            <w:r>
              <w:rPr>
                <w:rFonts w:ascii="Times New Roman" w:hAnsi="Times New Roman"/>
                <w:sz w:val="24"/>
              </w:rPr>
              <w:t>517</w:t>
            </w:r>
          </w:p>
        </w:tc>
        <w:tc>
          <w:tcPr>
            <w:tcW w:type="dxa" w:w="1134"/>
          </w:tcPr>
          <w:p>
            <w:pPr>
              <w:spacing w:line="360" w:lineRule="auto"/>
            </w:pPr>
            <w:r>
              <w:rPr>
                <w:rFonts w:ascii="Times New Roman" w:hAnsi="Times New Roman"/>
                <w:sz w:val="24"/>
              </w:rPr>
              <w:t>30.6%</w:t>
            </w:r>
          </w:p>
        </w:tc>
        <w:tc>
          <w:tcPr>
            <w:tcW w:type="dxa" w:w="1134"/>
          </w:tcPr>
          <w:p>
            <w:pPr>
              <w:spacing w:line="360" w:lineRule="auto"/>
            </w:pPr>
            <w:r>
              <w:rPr>
                <w:rFonts w:ascii="Times New Roman" w:hAnsi="Times New Roman"/>
                <w:sz w:val="24"/>
              </w:rPr>
              <w:t>77.7%</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82.8%</w:t>
            </w:r>
          </w:p>
        </w:tc>
        <w:tc>
          <w:tcPr>
            <w:tcW w:type="dxa" w:w="1134"/>
          </w:tcPr>
          <w:p>
            <w:pPr>
              <w:spacing w:line="360" w:lineRule="auto"/>
            </w:pPr>
            <w:r>
              <w:rPr>
                <w:rFonts w:ascii="Times New Roman" w:hAnsi="Times New Roman"/>
                <w:sz w:val="24"/>
              </w:rPr>
              <w:t>509</w:t>
            </w:r>
          </w:p>
        </w:tc>
        <w:tc>
          <w:tcPr>
            <w:tcW w:type="dxa" w:w="1134"/>
          </w:tcPr>
          <w:p>
            <w:pPr>
              <w:spacing w:line="360" w:lineRule="auto"/>
            </w:pPr>
            <w:r>
              <w:rPr>
                <w:rFonts w:ascii="Times New Roman" w:hAnsi="Times New Roman"/>
                <w:sz w:val="24"/>
              </w:rPr>
              <w:t>36</w:t>
            </w:r>
          </w:p>
        </w:tc>
        <w:tc>
          <w:tcPr>
            <w:tcW w:type="dxa" w:w="1134"/>
          </w:tcPr>
          <w:p>
            <w:pPr>
              <w:spacing w:line="360" w:lineRule="auto"/>
            </w:pPr>
            <w:r>
              <w:rPr>
                <w:rFonts w:ascii="Times New Roman" w:hAnsi="Times New Roman"/>
                <w:sz w:val="24"/>
              </w:rPr>
              <w:t>911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25.4%</w:t>
            </w:r>
          </w:p>
        </w:tc>
        <w:tc>
          <w:tcPr>
            <w:tcW w:type="dxa" w:w="1134"/>
          </w:tcPr>
          <w:p>
            <w:pPr>
              <w:spacing w:line="360" w:lineRule="auto"/>
            </w:pPr>
            <w:r>
              <w:rPr>
                <w:rFonts w:ascii="Times New Roman" w:hAnsi="Times New Roman"/>
                <w:sz w:val="24"/>
              </w:rPr>
              <w:t>68.3%</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3457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