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jc w:val="center"/>
      </w:pPr>
      <w:r>
        <w:rPr>
          <w:rFonts w:ascii="Times New Roman" w:hAnsi="Times New Roman"/>
          <w:b/>
          <w:sz w:val="24"/>
        </w:rPr>
        <w:t>Izzan Rijal Muslim, MD¹; Andriany Qanitha, MD, PhD, FESC²</w:t>
      </w:r>
    </w:p>
    <w:p>
      <w:pPr>
        <w:spacing w:line="360" w:lineRule="auto"/>
      </w:pPr>
      <w:r>
        <w:rPr>
          <w:rFonts w:ascii="Times New Roman" w:hAnsi="Times New Roman"/>
          <w:sz w:val="24"/>
        </w:rPr>
        <w:t>¹ Department of Cardiology and Vascular Medicine, Faculty of Medicine, Hasanuddin University, Makassar, Indonesia</w:t>
      </w:r>
    </w:p>
    <w:p>
      <w:pPr>
        <w:spacing w:line="360" w:lineRule="auto"/>
      </w:pPr>
      <w:r>
        <w:rPr>
          <w:rFonts w:ascii="Times New Roman" w:hAnsi="Times New Roman"/>
          <w:sz w:val="24"/>
        </w:rPr>
        <w:t>² Department of Physiology, Clinical Epidemiology, Research, and Publication Unit, Faculty of Medicine, Hasanuddin University, Makassar, Indonesia</w:t>
      </w:r>
    </w:p>
    <w:p>
      <w:pPr>
        <w:spacing w:line="360" w:lineRule="auto"/>
      </w:pPr>
      <w:r>
        <w:rPr>
          <w:rFonts w:ascii="Times New Roman" w:hAnsi="Times New Roman"/>
          <w:sz w:val="24"/>
        </w:rPr>
        <w:t>ORCID: Izzan Rijal Muslim 0009-0005-0173-3606; Andriany Qanitha 0000-0003-2420-0560</w:t>
      </w:r>
    </w:p>
    <w:p>
      <w:pPr>
        <w:spacing w:line="360" w:lineRule="auto"/>
      </w:pPr>
      <w:r>
        <w:rPr>
          <w:rFonts w:ascii="Times New Roman" w:hAnsi="Times New Roman"/>
          <w:sz w:val="24"/>
        </w:rPr>
        <w:t>Corresponding author: Izzan Rijal Muslim, MD. Email: izzan.rijal@gmail.com</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3620</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stratified five-fold cross-validation. The screening threshold was set a priori at 0.08. Flagged patients were split into HIGH, INTERMEDIATE, and LOW tiers by a prespecified 25/50/25 rule. Results: At threshold 0.08, 682 patients (37.5%) were flagged, capturing 172 deaths (flagging sensitivity 82.3%, PPV 25.2%). After the 25/50/25 tier split, 511 patients were escalated (HIGH plus INTERMEDIATE), capturing 158 deaths (sensitivity 75.6%, specificity 78.0%, PPV 30.9%, NPV 96.1%). The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threshold-based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need admission-time tools that map risk to practical monitoring options.</w:t>
      </w:r>
    </w:p>
    <w:p>
      <w:pPr>
        <w:spacing w:line="360" w:lineRule="auto"/>
      </w:pPr>
      <w:r>
        <w:rPr>
          <w:rFonts w:ascii="Times New Roman" w:hAnsi="Times New Roman"/>
          <w:sz w:val="24"/>
        </w:rPr>
        <w:t>The immediate problem at admission extends beyond prognostic labeling. It includes monitored beds, nurse attention, repeat assessment, and senior review while diagnostic and treatment pathways are still moving. Although a score can perform well as a population predictor, bedside monitoring decisions require an operating point chosen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evaluated a triage model using a random forest, an ensemble of tree predictors [6]. The model used 12 pre-specified routine admission variables. The aim was not to replace GRACE or clinician judgment. Instead, the study tested an internally validated referral-center monitoring aid with a priori operating rules. The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study protocol was approved by the Health Research Ethics Committee of the Faculty of Medicine, Universitas Hasanuddin (approval number 890/UN4.6.4.5.31/PP36/2026). The analysis used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Cardiogenic shock was recorded in 422 patients in total, so 143 patients had cardiogenic shock without Killip class IV. Those records indicate shock recognized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The predictors were selected from clinical domain knowledge before evaluation. No predictor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performed within each cross-validation training fold and then applied to the corresponding validation fold, so that no information from the validation fold influenced the imputed values.</w:t>
      </w:r>
    </w:p>
    <w:p>
      <w:pPr>
        <w:pStyle w:val="Heading2"/>
        <w:spacing w:line="360" w:lineRule="auto"/>
      </w:pPr>
      <w:r>
        <w:rPr>
          <w:rFonts w:ascii="Times New Roman" w:hAnsi="Times New Roman"/>
          <w:sz w:val="24"/>
        </w:rPr>
        <w:t>Model Specification</w:t>
      </w:r>
    </w:p>
    <w:p>
      <w:pPr>
        <w:spacing w:line="360" w:lineRule="auto"/>
      </w:pPr>
      <w:r>
        <w:rPr>
          <w:rFonts w:ascii="Times New Roman" w:hAnsi="Times New Roman"/>
          <w:sz w:val="24"/>
        </w:rPr>
        <w:t>The random forest comprised 500 trees, with a maximum depth of 6 and a minimum of 5 observations per terminal node, and a fixed random seed for reproducible construction. These size constraints limited overfitting and prevented very small terminal subgroups in a cohort with 209 deaths. Events per variable were calculated as flagged deaths divided by the 12 predictors, giving EPV 14.3; EPV was retained as a descriptive check because sample-size adequacy extends beyond a simple EPV rule [8]. Because the model was intended for pragmatic triage, the predictor set was prespecified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cross-validation, and predictions from all held-out folds were pooled for the performance estimates. A fixed random seed (42) ensured that the same data partitions were reproduced on every run. Within each training fold, a nested three-fold cross-validation estimated the Youden reference threshold, and the corresponding validation fold was used only for evaluation. No predictor selection, threshold choice, tier definition, calibration, or operating-point decision used the evaluation data.</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Youden reference threshold estimated by the nested cross-validation was 0.1513. It was reported as a reference only and was not used for flagging. The screening threshold was set a priori at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Flagged patients were ranked by predicted probability and divided into HIGH, INTERMEDIATE, and LOW tiers in prespecified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classification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predictor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That last group had shock recognized after admission. It identifies a very high-risk state, but not always one known at the admission decision point, so including cardiogenic shock would inflate apparent triage performance.</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682 patients (37.5%). This group included 172 deaths and 510 survivors, giving flagging sensitivity 82.3%, specificity 68.3%, PPV 25.2%, and NPV 96.7%. The term flagged refers to all patients with predicted probability at least 0.08; the term escalated, used below, refers to the subset of flagged patients placed in the HIGH or INTERMEDIATE tiers, excluding the LOW tier. The cross-validated AUC was 0.843 and the Brier score was 0.080.</w:t>
      </w:r>
    </w:p>
    <w:p>
      <w:pPr>
        <w:spacing w:line="360" w:lineRule="auto"/>
      </w:pPr>
      <w:r>
        <w:rPr>
          <w:rFonts w:ascii="Times New Roman" w:hAnsi="Times New Roman"/>
          <w:sz w:val="24"/>
        </w:rP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1.076, calibration-in-the-large was 0.015, O:E ratio was 1.014, and ECE was 0.017. Figure 2 shows the reliability pattern across risk bins. These estimates came from cross-validated predictions, not from the data used to develop the model.</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170 patients, 88 deaths, and PPV 51.8%. The INTERMEDIATE tier included 341 patients, 70 deaths, and PPV 20.5%. The LOW tier included 171 patients, 14 deaths, and PPV 8.2%. HIGH plus INTERMEDIATE contained 158 deaths, equal to 91.9% of the 172 flagged deaths (75.6% of all 209 deaths).</w:t>
      </w:r>
    </w:p>
    <w:p>
      <w:pPr>
        <w:spacing w:line="360" w:lineRule="auto"/>
      </w:pPr>
      <w:r>
        <w:rPr>
          <w:rFonts w:ascii="Times New Roman" w:hAnsi="Times New Roman"/>
          <w:sz w:val="24"/>
        </w:rPr>
        <w:t>For the full triage system, 511 patients were escalated, equal to 28.1% of the cohort. The classification counts were 158 true positives, 353 false positives, 51 false negatives, and 1,255 true negatives,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 Figure 4 illustrates the proposed referral-center workflow, mapping HIGH, INTERMEDIATE, and LOW tiers to advisory ICU, HCU, and ward monitoring considerations.</w:t>
      </w:r>
    </w:p>
    <w:p>
      <w:pPr>
        <w:spacing w:line="360" w:lineRule="auto"/>
      </w:pPr>
      <w:r>
        <w:rPr>
          <w:rFonts w:ascii="Times New Roman" w:hAnsi="Times New Roman"/>
          <w:sz w:val="24"/>
        </w:rP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 Decision curve analysis (Supplementary Figure S2) showed that the admission model provided positive net benefit across the full range of threshold probabilities examined (1% to 40%) and exceeded the treat-all and treat-none strategies. These results support its use as a triage decision aid for prospective testing.</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evaluated an admission-time ACS mortality triage model with a priori operating rules and internally validated performance. The model flagged 37.5% of patients and captured 172 of 209 deaths. After the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14 flagged patients in the LOW tier died, and 37 deaths occurred below the screening threshold. These deaths matter because triage must enrich a high-risk group while keeping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a priori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prespecified, future monitoring can separate model performance from implementation behavior. That distinction is important: poor uptake, delayed laboratory availability, and lack of monitored beds weaken clinical effect even when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needs careful interpretation. GRACE has broad external evidence and remains a reference score in ACS risk assessment [3,4]. The local model had AUC 0.843 compared with GRACE 2.0 AUC 0.816 on the same cohort, with an AUC difference of 0.027 and DeLong p = 0.021. That modest difference is relevant for a referral-center monitoring protocol, but it is not a claim that a single-center model supersedes GRACE. Both are decision-support tools. GRACE provides a general benchmark; the local model translates routine admission variables into a prespecified monitoring tier.</w:t>
      </w:r>
    </w:p>
    <w:p>
      <w:pPr>
        <w:spacing w:line="360" w:lineRule="auto"/>
      </w:pPr>
      <w:r>
        <w:rPr>
          <w:rFonts w:ascii="Times New Roman" w:hAnsi="Times New Roman"/>
          <w:sz w:val="24"/>
        </w:rP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unavailable at the triage decision point. Reporting the inflated result makes the bias visible and justifies limiting the main model to admission-time variables.</w:t>
      </w:r>
    </w:p>
    <w:p>
      <w:pPr>
        <w:spacing w:line="360" w:lineRule="auto"/>
      </w:pPr>
      <w:r>
        <w:rPr>
          <w:rFonts w:ascii="Times New Roman" w:hAnsi="Times New Roman"/>
          <w:sz w:val="24"/>
        </w:rPr>
        <w:t>The predictor pattern also has clinical coherence. Killip class had the highest variable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and marked respiratory distress with limited cardiopulmonary reserve. These variables are not abstract statistical constructs;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can experience a treatment paradox: patients flagged as high risk receive different care precisely because the model identifies them, and observed mortality changes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median imputation within each cross-validation fold, but missingness can still reflect clinical workflow and illness severity. Registry labels can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prespecified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Conflicts of Interest: The authors declare no conflicts of interest.</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82.5 (26.8)</w:t>
            </w:r>
          </w:p>
        </w:tc>
        <w:tc>
          <w:tcPr>
            <w:tcW w:type="dxa" w:w="2268"/>
          </w:tcPr>
          <w:p>
            <w:pPr>
              <w:spacing w:line="360" w:lineRule="auto"/>
            </w:pPr>
            <w:r>
              <w:rPr>
                <w:rFonts w:ascii="Times New Roman" w:hAnsi="Times New Roman"/>
                <w:sz w:val="24"/>
              </w:rPr>
              <w:t>54.4 (28.4)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cross-validated analysis.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0.843</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0.027</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0.021</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1.076</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170</w:t>
            </w:r>
          </w:p>
        </w:tc>
        <w:tc>
          <w:tcPr>
            <w:tcW w:type="dxa" w:w="2268"/>
          </w:tcPr>
          <w:p>
            <w:pPr>
              <w:spacing w:line="360" w:lineRule="auto"/>
            </w:pPr>
            <w:r>
              <w:rPr>
                <w:rFonts w:ascii="Times New Roman" w:hAnsi="Times New Roman"/>
                <w:sz w:val="24"/>
              </w:rPr>
              <w:t>88</w:t>
            </w:r>
          </w:p>
        </w:tc>
        <w:tc>
          <w:tcPr>
            <w:tcW w:type="dxa" w:w="2268"/>
          </w:tcPr>
          <w:p>
            <w:pPr>
              <w:spacing w:line="360" w:lineRule="auto"/>
            </w:pPr>
            <w:r>
              <w:rPr>
                <w:rFonts w:ascii="Times New Roman" w:hAnsi="Times New Roman"/>
                <w:sz w:val="24"/>
              </w:rPr>
              <w:t>51.8%</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341</w:t>
            </w:r>
          </w:p>
        </w:tc>
        <w:tc>
          <w:tcPr>
            <w:tcW w:type="dxa" w:w="2268"/>
          </w:tcPr>
          <w:p>
            <w:pPr>
              <w:spacing w:line="360" w:lineRule="auto"/>
            </w:pPr>
            <w:r>
              <w:rPr>
                <w:rFonts w:ascii="Times New Roman" w:hAnsi="Times New Roman"/>
                <w:sz w:val="24"/>
              </w:rPr>
              <w:t>70</w:t>
            </w:r>
          </w:p>
        </w:tc>
        <w:tc>
          <w:tcPr>
            <w:tcW w:type="dxa" w:w="2268"/>
          </w:tcPr>
          <w:p>
            <w:pPr>
              <w:spacing w:line="360" w:lineRule="auto"/>
            </w:pPr>
            <w:r>
              <w:rPr>
                <w:rFonts w:ascii="Times New Roman" w:hAnsi="Times New Roman"/>
                <w:sz w:val="24"/>
              </w:rPr>
              <w:t>20.5%</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171</w:t>
            </w:r>
          </w:p>
        </w:tc>
        <w:tc>
          <w:tcPr>
            <w:tcW w:type="dxa" w:w="2268"/>
          </w:tcPr>
          <w:p>
            <w:pPr>
              <w:spacing w:line="360" w:lineRule="auto"/>
            </w:pPr>
            <w:r>
              <w:rPr>
                <w:rFonts w:ascii="Times New Roman" w:hAnsi="Times New Roman"/>
                <w:sz w:val="24"/>
              </w:rPr>
              <w:t>14</w:t>
            </w:r>
          </w:p>
        </w:tc>
        <w:tc>
          <w:tcPr>
            <w:tcW w:type="dxa" w:w="2268"/>
          </w:tcPr>
          <w:p>
            <w:pPr>
              <w:spacing w:line="360" w:lineRule="auto"/>
            </w:pPr>
            <w:r>
              <w:rPr>
                <w:rFonts w:ascii="Times New Roman" w:hAnsi="Times New Roman"/>
                <w:sz w:val="24"/>
              </w:rPr>
              <w:t>8.2%</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1135</w:t>
            </w:r>
          </w:p>
        </w:tc>
        <w:tc>
          <w:tcPr>
            <w:tcW w:type="dxa" w:w="2268"/>
          </w:tcPr>
          <w:p>
            <w:pPr>
              <w:spacing w:line="360" w:lineRule="auto"/>
            </w:pPr>
            <w:r>
              <w:rPr>
                <w:rFonts w:ascii="Times New Roman" w:hAnsi="Times New Roman"/>
                <w:sz w:val="24"/>
              </w:rPr>
              <w:t>37</w:t>
            </w:r>
          </w:p>
        </w:tc>
        <w:tc>
          <w:tcPr>
            <w:tcW w:type="dxa" w:w="2268"/>
          </w:tcPr>
          <w:p>
            <w:pPr>
              <w:spacing w:line="360" w:lineRule="auto"/>
            </w:pPr>
            <w:r>
              <w:rPr>
                <w:rFonts w:ascii="Times New Roman" w:hAnsi="Times New Roman"/>
                <w:sz w:val="24"/>
              </w:rPr>
              <w:t>3.3%</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cross-validated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10</w:t>
            </w:r>
          </w:p>
        </w:tc>
        <w:tc>
          <w:tcPr>
            <w:tcW w:type="dxa" w:w="3024"/>
          </w:tcPr>
          <w:p>
            <w:pPr>
              <w:spacing w:line="360" w:lineRule="auto"/>
            </w:pPr>
            <w:r>
              <w:rPr>
                <w:rFonts w:ascii="Times New Roman" w:hAnsi="Times New Roman"/>
                <w:sz w:val="24"/>
              </w:rPr>
              <w:t>0.6%</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201</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436</w:t>
            </w:r>
          </w:p>
        </w:tc>
        <w:tc>
          <w:tcPr>
            <w:tcW w:type="dxa" w:w="1134"/>
          </w:tcPr>
          <w:p>
            <w:pPr>
              <w:spacing w:line="360" w:lineRule="auto"/>
            </w:pPr>
            <w:r>
              <w:rPr>
                <w:rFonts w:ascii="Times New Roman" w:hAnsi="Times New Roman"/>
                <w:sz w:val="24"/>
              </w:rPr>
              <w:t>327</w:t>
            </w:r>
          </w:p>
        </w:tc>
        <w:tc>
          <w:tcPr>
            <w:tcW w:type="dxa" w:w="1134"/>
          </w:tcPr>
          <w:p>
            <w:pPr>
              <w:spacing w:line="360" w:lineRule="auto"/>
            </w:pPr>
            <w:r>
              <w:rPr>
                <w:rFonts w:ascii="Times New Roman" w:hAnsi="Times New Roman"/>
                <w:sz w:val="24"/>
              </w:rPr>
              <w:t>38.5%</w:t>
            </w:r>
          </w:p>
        </w:tc>
        <w:tc>
          <w:tcPr>
            <w:tcW w:type="dxa" w:w="1134"/>
          </w:tcPr>
          <w:p>
            <w:pPr>
              <w:spacing w:line="360" w:lineRule="auto"/>
            </w:pPr>
            <w:r>
              <w:rPr>
                <w:rFonts w:ascii="Times New Roman" w:hAnsi="Times New Roman"/>
                <w:sz w:val="24"/>
              </w:rPr>
              <w:t>87.5%</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293</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586</w:t>
            </w:r>
          </w:p>
        </w:tc>
        <w:tc>
          <w:tcPr>
            <w:tcW w:type="dxa" w:w="1134"/>
          </w:tcPr>
          <w:p>
            <w:pPr>
              <w:spacing w:line="360" w:lineRule="auto"/>
            </w:pPr>
            <w:r>
              <w:rPr>
                <w:rFonts w:ascii="Times New Roman" w:hAnsi="Times New Roman"/>
                <w:sz w:val="24"/>
              </w:rPr>
              <w:t>439</w:t>
            </w:r>
          </w:p>
        </w:tc>
        <w:tc>
          <w:tcPr>
            <w:tcW w:type="dxa" w:w="1134"/>
          </w:tcPr>
          <w:p>
            <w:pPr>
              <w:spacing w:line="360" w:lineRule="auto"/>
            </w:pPr>
            <w:r>
              <w:rPr>
                <w:rFonts w:ascii="Times New Roman" w:hAnsi="Times New Roman"/>
                <w:sz w:val="24"/>
              </w:rPr>
              <w:t>33.3%</w:t>
            </w:r>
          </w:p>
        </w:tc>
        <w:tc>
          <w:tcPr>
            <w:tcW w:type="dxa" w:w="1134"/>
          </w:tcPr>
          <w:p>
            <w:pPr>
              <w:spacing w:line="360" w:lineRule="auto"/>
            </w:pPr>
            <w:r>
              <w:rPr>
                <w:rFonts w:ascii="Times New Roman" w:hAnsi="Times New Roman"/>
                <w:sz w:val="24"/>
              </w:rPr>
              <w:t>81.8%</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353</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511</w:t>
            </w:r>
          </w:p>
        </w:tc>
        <w:tc>
          <w:tcPr>
            <w:tcW w:type="dxa" w:w="1134"/>
          </w:tcPr>
          <w:p>
            <w:pPr>
              <w:spacing w:line="360" w:lineRule="auto"/>
            </w:pPr>
            <w:r>
              <w:rPr>
                <w:rFonts w:ascii="Times New Roman" w:hAnsi="Times New Roman"/>
                <w:sz w:val="24"/>
              </w:rPr>
              <w:t>30.9%</w:t>
            </w:r>
          </w:p>
        </w:tc>
        <w:tc>
          <w:tcPr>
            <w:tcW w:type="dxa" w:w="1134"/>
          </w:tcPr>
          <w:p>
            <w:pPr>
              <w:spacing w:line="360" w:lineRule="auto"/>
            </w:pPr>
            <w:r>
              <w:rPr>
                <w:rFonts w:ascii="Times New Roman" w:hAnsi="Times New Roman"/>
                <w:sz w:val="24"/>
              </w:rPr>
              <w:t>78.0%</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81.8%</w:t>
            </w:r>
          </w:p>
        </w:tc>
        <w:tc>
          <w:tcPr>
            <w:tcW w:type="dxa" w:w="1134"/>
          </w:tcPr>
          <w:p>
            <w:pPr>
              <w:spacing w:line="360" w:lineRule="auto"/>
            </w:pPr>
            <w:r>
              <w:rPr>
                <w:rFonts w:ascii="Times New Roman" w:hAnsi="Times New Roman"/>
                <w:sz w:val="24"/>
              </w:rPr>
              <w:t>499</w:t>
            </w:r>
          </w:p>
        </w:tc>
        <w:tc>
          <w:tcPr>
            <w:tcW w:type="dxa" w:w="1134"/>
          </w:tcPr>
          <w:p>
            <w:pPr>
              <w:spacing w:line="360" w:lineRule="auto"/>
            </w:pPr>
            <w:r>
              <w:rPr>
                <w:rFonts w:ascii="Times New Roman" w:hAnsi="Times New Roman"/>
                <w:sz w:val="24"/>
              </w:rPr>
              <w:t>38</w:t>
            </w:r>
          </w:p>
        </w:tc>
        <w:tc>
          <w:tcPr>
            <w:tcW w:type="dxa" w:w="1134"/>
          </w:tcPr>
          <w:p>
            <w:pPr>
              <w:spacing w:line="360" w:lineRule="auto"/>
            </w:pPr>
            <w:r>
              <w:rPr>
                <w:rFonts w:ascii="Times New Roman" w:hAnsi="Times New Roman"/>
                <w:sz w:val="24"/>
              </w:rPr>
              <w:t>894</w:t>
            </w:r>
          </w:p>
        </w:tc>
        <w:tc>
          <w:tcPr>
            <w:tcW w:type="dxa" w:w="1134"/>
          </w:tcPr>
          <w:p>
            <w:pPr>
              <w:spacing w:line="360" w:lineRule="auto"/>
            </w:pPr>
            <w:r>
              <w:rPr>
                <w:rFonts w:ascii="Times New Roman" w:hAnsi="Times New Roman"/>
                <w:sz w:val="24"/>
              </w:rPr>
              <w:t>670</w:t>
            </w:r>
          </w:p>
        </w:tc>
        <w:tc>
          <w:tcPr>
            <w:tcW w:type="dxa" w:w="1134"/>
          </w:tcPr>
          <w:p>
            <w:pPr>
              <w:spacing w:line="360" w:lineRule="auto"/>
            </w:pPr>
            <w:r>
              <w:rPr>
                <w:rFonts w:ascii="Times New Roman" w:hAnsi="Times New Roman"/>
                <w:sz w:val="24"/>
              </w:rPr>
              <w:t>25.5%</w:t>
            </w:r>
          </w:p>
        </w:tc>
        <w:tc>
          <w:tcPr>
            <w:tcW w:type="dxa" w:w="1134"/>
          </w:tcPr>
          <w:p>
            <w:pPr>
              <w:spacing w:line="360" w:lineRule="auto"/>
            </w:pPr>
            <w:r>
              <w:rPr>
                <w:rFonts w:ascii="Times New Roman" w:hAnsi="Times New Roman"/>
                <w:sz w:val="24"/>
              </w:rPr>
              <w:t>69.0%</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3620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