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jc w:val="center"/>
      </w:pPr>
      <w:r>
        <w:rPr>
          <w:rFonts w:ascii="Times New Roman" w:hAnsi="Times New Roman"/>
          <w:b/>
          <w:sz w:val="24"/>
        </w:rPr>
        <w:t>Izzan Rijal Muslim, MD¹; Andriany Qanitha, MD, PhD, FESC²</w:t>
      </w:r>
    </w:p>
    <w:p>
      <w:pPr>
        <w:spacing w:line="360" w:lineRule="auto"/>
      </w:pPr>
      <w:r>
        <w:rPr>
          <w:rFonts w:ascii="Times New Roman" w:hAnsi="Times New Roman"/>
          <w:sz w:val="24"/>
        </w:rPr>
        <w:t>¹ Department of Cardiology and Vascular Medicine, Faculty of Medicine, Hasanuddin University, Makassar, Indonesia</w:t>
      </w:r>
    </w:p>
    <w:p>
      <w:pPr>
        <w:spacing w:line="360" w:lineRule="auto"/>
      </w:pPr>
      <w:r>
        <w:rPr>
          <w:rFonts w:ascii="Times New Roman" w:hAnsi="Times New Roman"/>
          <w:sz w:val="24"/>
        </w:rPr>
        <w:t>² Department of Physiology, Clinical Epidemiology, Research, and Publication Unit, Faculty of Medicine, Hasanuddin University, Makassar, Indonesia</w:t>
      </w:r>
    </w:p>
    <w:p>
      <w:pPr>
        <w:spacing w:line="360" w:lineRule="auto"/>
      </w:pPr>
      <w:r>
        <w:rPr>
          <w:rFonts w:ascii="Times New Roman" w:hAnsi="Times New Roman"/>
          <w:sz w:val="24"/>
        </w:rPr>
        <w:t>ORCID: Izzan Rijal Muslim 0009-0005-0173-3606; Andriany Qanitha 0000-0003-2420-0560</w:t>
      </w:r>
    </w:p>
    <w:p>
      <w:pPr>
        <w:spacing w:line="360" w:lineRule="auto"/>
      </w:pPr>
      <w:r>
        <w:rPr>
          <w:rFonts w:ascii="Times New Roman" w:hAnsi="Times New Roman"/>
          <w:sz w:val="24"/>
        </w:rPr>
        <w:t>Corresponding author: Izzan Rijal Muslim, MD. Email: izzan.rijal@gmail.com</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3608</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set a priori at 0.08. Flagged patients were split into HIGH, INTERMEDIATE, and LOW tiers by a prespecified 25/50/25 rule. Results: At threshold 0.08, 682 patients (37.5%) were flagged, capturing 172 deaths (flagging sensitivity 82.3%, PPV 25.2%). After the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threshold-based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need admission-time tools that map risk to practical monitoring options.</w:t>
      </w:r>
    </w:p>
    <w:p>
      <w:pPr>
        <w:spacing w:line="360" w:lineRule="auto"/>
      </w:pPr>
      <w:r>
        <w:rPr>
          <w:rFonts w:ascii="Times New Roman" w:hAnsi="Times New Roman"/>
          <w:sz w:val="24"/>
        </w:rPr>
        <w:t>The immediate problem at admission extends beyond prognostic labeling. It includes monitored beds, nurse attention, repeat assessment, and senior review while diagnostic and treatment pathways are still moving. Although a score can perform well as a population predictor, bedside monitoring decisions require an operating point chosen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evaluated a triage model using a random forest, an ensemble of tree predictors [6]. The model used 12 pre-specified routine admission variables. The aim was not to replace GRACE or clinician judgment. Instead, the study tested an internally validated referral-center monitoring aid with a priori operating rules. The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study protocol was approved by the Health Research Ethics Committee of the Faculty of Medicine, Universitas Hasanuddin (approval number 890/UN4.6.4.5.31/PP36/2026). The analysis used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Cardiogenic shock was recorded in 422 patients in total, so 143 patients had cardiogenic shock without Killip class IV. Those records indicate shock recognized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Specification</w:t>
      </w:r>
    </w:p>
    <w:p>
      <w:pPr>
        <w:spacing w:line="360" w:lineRule="auto"/>
      </w:pPr>
      <w:r>
        <w:rPr>
          <w:rFonts w:ascii="Times New Roman" w:hAnsi="Times New Roman"/>
          <w:sz w:val="24"/>
        </w:rPr>
        <w:t>The random forest used 500 trees, a maximum depth of 6, and a minimum leaf size of 5, with a fixed random seed for reproducible tree construction.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Because the model was intended for pragmatic triage, the predictor set was prespecified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cross-validation with pooled out-of-fold predictions; a fixed random seed (42) ensured reproducible fold assignment across repeated runs.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screening threshold was set a priori at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prespecified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That last group had shock recognized after admission. It identifies a very high-risk state, but not always one known at the admission decision point, so including cardiogenic shock would inflate apparent triage performance.</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These results support its use as a triage decision aid for prospective testing.</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evaluated an admission-time ACS mortality triage model with a priori operating rules and internally validated performance. The model flagged 37.5% of patients and captured 172 of 209 deaths. After the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triage must enrich a high-risk group while keeping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a priori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prespecified, future monitoring can separate model performance from implementation behavior. That distinction is important: poor uptake, delayed laboratory availability, and lack of monitored beds weaken clinical effect even when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needs careful interpretation. GRACE has broad external evidence and remains a reference score in ACS risk assessment [3,4]. The local model had AUC 0.843 compared with GRACE 2.0 AUC 0.816 on the same cohort, with an AUC difference of 0.027 and DeLong p = 0.021. That modest difference is relevant for a referral-center monitoring protocol, but it is not a claim that a single-center model supersedes GRACE. Both are decision-support tools. GRACE provides a general benchmark; the local model translates routine admission variables into a prespecified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unavailable at the triage decision point. Reporting the inflated result makes the bias visible and justifies limiting the main model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and marked respiratory distress with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can experience a treatment paradox: patients flagged as high risk receive different care precisely because the model identifies them, and observed mortality changes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can still reflect clinical workflow and illness severity. Registry labels can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prespecified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Conflicts of Interest: The authors declare no conflicts of interest.</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3608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