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3735</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At threshold 0.08, 682 patients (37.5%) were flagged, capturing 172 deaths (flagging sensitivity 82.3%, PPV 25.2%). After the fixed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protocol UH26050577; approved 22 July 2026, valid through 22 July 2027). The analysis used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representing shock recognized after admission. That last group is the reason cardiogenic shock was excluded from the main model: it identifies a very high-risk state, but not always one known at the admission decision point, and including it would inflate apparent triage performance.</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Urea had the highest missingness at 1.4%, followed by random glucose (1.2%) and systemic immune-inflammation index (0.9%). eGFR missingness was 0.6% after CKD-EPI 2021 derivation from creatinine, age, and sex. Complete data for all 12 model variables were present in 1,745 patients (96.0%), and 72 patients (4.0%)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supporting its potential utility for triage decisions.</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37.5% of patients and captured 172 of 209 deaths. After the fixed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0.843 compared with GRACE 2.0 AUC 0.816 on the same cohort, with an AUC difference of 0.027 and DeLong p = 0.021.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Conflicts of Interest: The authors declare no conflicts of interest.</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3735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