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KapiMart Partner Handbook</w:t>
      </w:r>
    </w:p>
    <w:p>
      <w:pPr>
        <w:pStyle w:val="Subtitle"/>
      </w:pPr>
      <w:r>
        <w:t>Everything a new marketplace seller needs in the first ninety days</w:t>
      </w:r>
    </w:p>
    <w:p>
      <w:r>
        <w:rPr>
          <w:i/>
        </w:rPr>
        <w:t>Edition 2026.3, published by the KapiMart Partner Team</w:t>
      </w:r>
    </w:p>
    <w:p>
      <w:pPr>
        <w:pStyle w:val="Heading1"/>
      </w:pPr>
      <w:r>
        <w:t>1. Welcome to the marketplace</w:t>
      </w:r>
    </w:p>
    <w:p>
      <w:r>
        <w:t xml:space="preserve">KapiMart connects independent food producers with more than </w:t>
      </w:r>
      <w:r>
        <w:rPr>
          <w:b/>
        </w:rPr>
        <w:t>two million</w:t>
      </w:r>
      <w:r>
        <w:t xml:space="preserve"> active buyers across Europe. This handbook walks you through onboarding, the fee schedule and the support channels, and points to the </w:t>
      </w:r>
      <w:hyperlink r:id="rId9">
        <w:r>
          <w:rPr>
            <w:rStyle w:val="Hyperlink"/>
          </w:rPr>
          <w:t xml:space="preserve">Partner Portal</w:t>
        </w:r>
      </w:hyperlink>
      <w:r>
        <w:t xml:space="preserve"> for the day-to-day work.</w:t>
      </w:r>
    </w:p>
    <w:p>
      <w:r>
        <w:t>Read it once from start to end; after that, each chapter stands on its own.</w:t>
      </w:r>
    </w:p>
    <w:p>
      <w:pPr>
        <w:pStyle w:val="Heading1"/>
      </w:pPr>
      <w:r>
        <w:t>2. Getting started</w:t>
      </w:r>
    </w:p>
    <w:p>
      <w:pPr>
        <w:pStyle w:val="Heading2"/>
      </w:pPr>
      <w:r>
        <w:t>2.1 Five steps to your first order</w:t>
      </w:r>
    </w:p>
    <w:p>
      <w:pPr>
        <w:pStyle w:val="ListNumber"/>
      </w:pPr>
      <w:r>
        <w:t>Create your Seller Account in the Partner Portal and verify your business identity.</w:t>
      </w:r>
    </w:p>
    <w:p>
      <w:pPr>
        <w:pStyle w:val="ListNumber"/>
      </w:pPr>
      <w:r>
        <w:t>Complete the business profile: legal name, VAT number and the address that appears on invoices.</w:t>
      </w:r>
    </w:p>
    <w:p>
      <w:pPr>
        <w:pStyle w:val="ListNumber"/>
      </w:pPr>
      <w:r>
        <w:t>Upload your product catalogue with the bulk import template, or add products one at a time.</w:t>
      </w:r>
    </w:p>
    <w:p>
      <w:pPr>
        <w:pStyle w:val="ListNumber"/>
      </w:pPr>
      <w:r>
        <w:t>Set your shipping zones, delivery promises and return policy.</w:t>
      </w:r>
    </w:p>
    <w:p>
      <w:pPr>
        <w:pStyle w:val="ListNumber"/>
      </w:pPr>
      <w:r>
        <w:t>Connect a payout account and submit your first listing for review.</w:t>
      </w:r>
    </w:p>
    <w:p>
      <w:pPr>
        <w:pStyle w:val="Heading2"/>
      </w:pPr>
      <w:r>
        <w:t>2.2 Account requirements</w:t>
      </w:r>
    </w:p>
    <w:p>
      <w:pPr>
        <w:pStyle w:val="ListBullet"/>
      </w:pPr>
      <w:r>
        <w:t>A registered business in a supported country</w:t>
      </w:r>
    </w:p>
    <w:p>
      <w:pPr>
        <w:pStyle w:val="ListBullet"/>
      </w:pPr>
      <w:r>
        <w:t>Food-safety certification for every product category you list</w:t>
      </w:r>
    </w:p>
    <w:p>
      <w:pPr>
        <w:pStyle w:val="ListBullet"/>
      </w:pPr>
      <w:r>
        <w:t>A customer-service mailbox answered within one business day</w:t>
      </w:r>
    </w:p>
    <w:p>
      <w:pPr>
        <w:pStyle w:val="ListBullet"/>
      </w:pPr>
      <w:r>
        <w:t>Product photographs of at least 1200 × 1200 pixels</w:t>
      </w:r>
    </w:p>
    <w:p>
      <w:pPr>
        <w:pStyle w:val="Heading1"/>
      </w:pPr>
      <w:r>
        <w:t>3. Fees and payouts</w:t>
      </w:r>
    </w:p>
    <w:p>
      <w:r>
        <w:t xml:space="preserve">Fees depend on the plan. </w:t>
      </w:r>
      <w:r>
        <w:rPr>
          <w:strike/>
        </w:rPr>
        <w:t>The Starter plan carried a €19 monthly fee until June 2026</w:t>
      </w:r>
      <w:r>
        <w:t xml:space="preserve">; </w:t>
      </w:r>
      <w:r>
        <w:rPr>
          <w:b/>
        </w:rPr>
        <w:t>Starter is now free</w:t>
      </w:r>
      <w:r>
        <w:t>, and the transaction fee is unchanged.</w:t>
      </w:r>
      <w:r>
        <w:rPr>
          <w:vertAlign w:val="superscript"/>
        </w:rPr>
        <w:t>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</w:tcPr>
          <w:p>
            <w:r/>
            <w:r>
              <w:rPr>
                <w:b/>
              </w:rPr>
              <w:t>Plan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Monthly fee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Transaction fee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Payout schedule</w:t>
            </w:r>
          </w:p>
        </w:tc>
      </w:tr>
      <w:tr>
        <w:tc>
          <w:tcPr>
            <w:tcW w:type="dxa" w:w="2160"/>
          </w:tcPr>
          <w:p>
            <w:r/>
            <w:r>
              <w:t>Starter</w:t>
            </w:r>
          </w:p>
        </w:tc>
        <w:tc>
          <w:tcPr>
            <w:tcW w:type="dxa" w:w="2160"/>
          </w:tcPr>
          <w:p>
            <w:r/>
            <w:r>
              <w:t>€0</w:t>
            </w:r>
          </w:p>
        </w:tc>
        <w:tc>
          <w:tcPr>
            <w:tcW w:type="dxa" w:w="2160"/>
          </w:tcPr>
          <w:p>
            <w:r/>
            <w:r>
              <w:t>8.0 %</w:t>
            </w:r>
          </w:p>
        </w:tc>
        <w:tc>
          <w:tcPr>
            <w:tcW w:type="dxa" w:w="2160"/>
          </w:tcPr>
          <w:p>
            <w:r/>
            <w:r>
              <w:t>Monthly</w:t>
            </w:r>
          </w:p>
        </w:tc>
      </w:tr>
      <w:tr>
        <w:tc>
          <w:tcPr>
            <w:tcW w:type="dxa" w:w="2160"/>
          </w:tcPr>
          <w:p>
            <w:r/>
            <w:r>
              <w:t>Growth</w:t>
            </w:r>
          </w:p>
        </w:tc>
        <w:tc>
          <w:tcPr>
            <w:tcW w:type="dxa" w:w="2160"/>
          </w:tcPr>
          <w:p>
            <w:r/>
            <w:r>
              <w:t>€49</w:t>
            </w:r>
          </w:p>
        </w:tc>
        <w:tc>
          <w:tcPr>
            <w:tcW w:type="dxa" w:w="2160"/>
          </w:tcPr>
          <w:p>
            <w:r/>
            <w:r>
              <w:t>6.5 %</w:t>
            </w:r>
          </w:p>
        </w:tc>
        <w:tc>
          <w:tcPr>
            <w:tcW w:type="dxa" w:w="2160"/>
          </w:tcPr>
          <w:p>
            <w:r/>
            <w:r>
              <w:t>Fortnightly</w:t>
            </w:r>
          </w:p>
        </w:tc>
      </w:tr>
      <w:tr>
        <w:tc>
          <w:tcPr>
            <w:tcW w:type="dxa" w:w="2160"/>
          </w:tcPr>
          <w:p>
            <w:r/>
            <w:r>
              <w:t>Scale</w:t>
            </w:r>
          </w:p>
        </w:tc>
        <w:tc>
          <w:tcPr>
            <w:tcW w:type="dxa" w:w="2160"/>
          </w:tcPr>
          <w:p>
            <w:r/>
            <w:r>
              <w:t>€199</w:t>
            </w:r>
          </w:p>
        </w:tc>
        <w:tc>
          <w:tcPr>
            <w:tcW w:type="dxa" w:w="2160"/>
          </w:tcPr>
          <w:p>
            <w:r/>
            <w:r>
              <w:t>5.0 %</w:t>
            </w:r>
          </w:p>
        </w:tc>
        <w:tc>
          <w:tcPr>
            <w:tcW w:type="dxa" w:w="2160"/>
          </w:tcPr>
          <w:p>
            <w:r/>
            <w:r>
              <w:t>Weekly</w:t>
            </w:r>
          </w:p>
        </w:tc>
      </w:tr>
      <w:tr>
        <w:tc>
          <w:tcPr>
            <w:tcW w:type="dxa" w:w="2160"/>
          </w:tcPr>
          <w:p>
            <w:r/>
            <w:r>
              <w:t>Enterprise</w:t>
            </w:r>
          </w:p>
        </w:tc>
        <w:tc>
          <w:tcPr>
            <w:tcW w:type="dxa" w:w="2160"/>
          </w:tcPr>
          <w:p>
            <w:r/>
            <w:r>
              <w:t>Custom</w:t>
            </w:r>
          </w:p>
        </w:tc>
        <w:tc>
          <w:tcPr>
            <w:tcW w:type="dxa" w:w="2160"/>
          </w:tcPr>
          <w:p>
            <w:r/>
            <w:r>
              <w:t>Custom</w:t>
            </w:r>
          </w:p>
        </w:tc>
        <w:tc>
          <w:tcPr>
            <w:tcW w:type="dxa" w:w="2160"/>
          </w:tcPr>
          <w:p>
            <w:r/>
            <w:r>
              <w:t>Daily</w:t>
            </w:r>
          </w:p>
        </w:tc>
      </w:tr>
    </w:tbl>
    <w:p>
      <w:r>
        <w:t>Payouts are made in euros to the account on file. Partners outside the euro area receive the amount converted at the European Central Bank reference rate on the payout date.</w:t>
      </w:r>
    </w:p>
    <w:p>
      <w:r>
        <w:drawing>
          <wp:inline xmlns:a="http://schemas.openxmlformats.org/drawingml/2006/main" xmlns:pic="http://schemas.openxmlformats.org/drawingml/2006/picture">
            <wp:extent cx="5303520" cy="2651760"/>
            <wp:docPr id="1" name="Figure 1" descr="Bar chart of quarterly partner payouts from 2024 to 20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1. Quarterly partner payouts since the marketplace opened.</w:t>
      </w:r>
    </w:p>
    <w:p>
      <w:r>
        <w:rPr>
          <w:vertAlign w:val="superscript"/>
        </w:rPr>
        <w:t>1</w:t>
      </w:r>
      <w:r>
        <w:rPr>
          <w:sz w:val="18"/>
        </w:rPr>
        <w:t xml:space="preserve"> Fees quoted exclude VAT; the Partner Agreement carries the full schedule.</w:t>
      </w:r>
    </w:p>
    <w:p>
      <w:pPr>
        <w:pStyle w:val="Heading1"/>
      </w:pPr>
      <w:r>
        <w:t>4. Support</w:t>
      </w:r>
    </w:p>
    <w:p>
      <w:r>
        <w:t xml:space="preserve">Partner Support is open Monday to Friday, 08:00 to 18:00 CET. Write to </w:t>
      </w:r>
      <w:hyperlink r:id="rId11">
        <w:r>
          <w:rPr>
            <w:rStyle w:val="Hyperlink"/>
          </w:rPr>
          <w:t xml:space="preserve">partners@kapimart.example.com</w:t>
        </w:r>
      </w:hyperlink>
      <w:r>
        <w:t xml:space="preserve"> or open a ticket from the Portal. Urgent order issues go to the on-call line printed on your dashboard.</w:t>
      </w:r>
    </w:p>
    <w:p>
      <w:pPr>
        <w:pStyle w:val="IntenseQuote"/>
      </w:pPr>
      <w:r>
        <w:t>Our best partners read this handbook twice: once before the first listing, and once after the first hundred orders.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yperlink">
    <w:name w:val="Hyperlink"/>
    <w:rPr>
      <w:color w:val="0563C1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artners.kapimart.example.com" TargetMode="External"/><Relationship Id="rId10" Type="http://schemas.openxmlformats.org/officeDocument/2006/relationships/image" Target="media/image1.png"/><Relationship Id="rId11" Type="http://schemas.openxmlformats.org/officeDocument/2006/relationships/hyperlink" Target="mailto:partners@kapimart.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KapiMart Partner Handbook</dc:title>
  <dc:subject>Onboarding, fees and support for marketplace partners</dc:subject>
  <dc:creator>KapiMart Partner Team</dc:creator>
  <cp:keywords/>
  <dc:description>The handbook every new KapiMart partner receives.</dc:description>
  <cp:lastModifiedBy>KapiMart Partner Team</cp:lastModifiedBy>
  <cp:revision>1</cp:revision>
  <dcterms:created xsi:type="dcterms:W3CDTF">2026-09-01T09:00:00Z</dcterms:created>
  <dcterms:modified xsi:type="dcterms:W3CDTF">2026-09-01T09:00:00Z</dcterms:modified>
  <cp:category/>
</cp:coreProperties>
</file>