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/>
        <w:tblCellMar/>
      </w:tblPr>
      <w:tblGrid>
        <w:gridCol/>
      </w:tblGrid>
      <w:tr>
        <w:trPr>
          <w:cantSplit/>
        </w:trPr>
        <w:tc>
          <w:tcPr>
            <w:tcW w:w="5000" w:type="pct"/>
            <w:shd w:val="clear" w:fill="1E0958"/>
            <w:tcMar>
              <w:top w:w="460" w:type="dxa"/>
              <w:left w:w="460" w:type="dxa"/>
              <w:bottom w:w="460" w:type="dxa"/>
              <w:right w:w="460" w:type="dxa"/>
            </w:tcMar>
          </w:tcPr>
          <w:p>
            <w:pPr>
              <w:spacing w:before="0" w:after="40" w:line="276" w:lineRule="auto"/>
            </w:pPr>
            <w:r>
              <w:rPr>
                <w:rFonts w:ascii="Georgia" w:hAnsi="Georgia"/>
                <w:b/>
                <w:spacing w:val="100"/>
                <w:color w:val="FFFFFF"/>
                <w:sz w:val="30"/>
                <w:szCs w:val="30"/>
              </w:rPr>
              <w:t xml:space="preserve">ASCENT</w:t>
            </w:r>
          </w:p>
          <w:p>
            <w:pPr>
              <w:spacing w:before="0" w:after="320" w:line="276" w:lineRule="auto"/>
            </w:pPr>
            <w:r>
              <w:rPr>
                <w:rFonts w:ascii="Calibri" w:hAnsi="Calibri"/>
                <w:spacing w:val="40"/>
                <w:color w:val="B9A9E8"/>
                <w:sz w:val="16"/>
                <w:szCs w:val="16"/>
              </w:rPr>
              <w:t xml:space="preserve">UN PRODUCTO DE AION</w:t>
            </w:r>
          </w:p>
          <w:p>
            <w:pPr>
              <w:spacing w:before="0" w:after="160" w:line="276" w:lineRule="auto"/>
            </w:pPr>
            <w:r>
              <w:rPr>
                <w:rFonts w:ascii="Georgia" w:hAnsi="Georgia"/>
                <w:color w:val="FFFFFF"/>
                <w:sz w:val="52"/>
                <w:szCs w:val="52"/>
              </w:rPr>
              <w:t xml:space="preserve"> Acta de entrega</w:t>
            </w:r>
            <w:r>
              <w:br/>
            </w:r>
            <w:r>
              <w:rPr>
                <w:rFonts w:ascii="Georgia" w:hAnsi="Georgia"/>
                <w:color w:val="FFFFFF"/>
                <w:sz w:val="52"/>
                <w:szCs w:val="52"/>
              </w:rPr>
              <w:t xml:space="preserve">y puesta en producción 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C9BCEC"/>
                <w:sz w:val="21"/>
                <w:szCs w:val="21"/>
              </w:rPr>
              <w:t xml:space="preserve">Plataforma de formación corporativa · Transportadora La Prensa del Valle S.A.S.</w:t>
            </w:r>
          </w:p>
        </w:tc>
      </w:tr>
    </w:tbl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1. Partes</w:t>
      </w:r>
    </w:p>
    <w:tbl>
      <w:tblPr>
        <w:tblW w:w="5000" w:type="pct"/>
        <w:tblBorders>
          <w:top w:val="single" w:sz="4" w:color="D8D2CA"/>
          <w:left w:val="single" w:sz="4" w:color="D8D2CA"/>
          <w:bottom w:val="single" w:sz="4" w:color="D8D2CA"/>
          <w:right w:val="single" w:sz="4" w:color="D8D2CA"/>
          <w:insideH w:val="single" w:sz="4" w:color="D8D2CA"/>
          <w:insideV w:val="single" w:sz="4" w:color="D8D2CA"/>
        </w:tblBorders>
        <w:tblCellMar/>
      </w:tblPr>
      <w:tblGrid>
        <w:gridCol/>
        <w:gridCol/>
      </w:tblGrid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Quien entrega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AION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—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[razón social completa]</w:t>
            </w:r>
            <w:r>
              <w:br/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NIT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[NIT]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· Domicilio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[ciudad]</w:t>
            </w:r>
            <w:r>
              <w:br/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Representada por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[nombre]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, en calidad de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[cargo]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. 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Quien recibe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Transportadora La Prensa del Valle S.A.S.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— en adelante TRANSPRENSA</w:t>
            </w:r>
            <w:r>
              <w:br/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NIT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[NIT]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· Domicilio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[ciudad]</w:t>
            </w:r>
            <w:r>
              <w:br/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Representada por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[nombre]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, en calidad de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[cargo]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. 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Fecha del acta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[día]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de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[mes]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de 2026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Contrato de referencia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Contrato de licencia y servicios de software SaaS suscrito entre las partes el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[fecha]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100" w:line="276" w:lineRule="auto"/>
      </w:pPr>
    </w:p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2. Objeto</w:t>
      </w:r>
    </w:p>
    <w:p>
      <w:pPr>
        <w:spacing w:before="0" w:after="150" w:line="276" w:lineRule="auto"/>
      </w:pPr>
      <w:r>
        <w:rPr>
          <w:rFonts w:ascii="Calibri" w:hAnsi="Calibri"/>
          <w:color w:val="2B2A33"/>
          <w:sz w:val="21"/>
          <w:szCs w:val="21"/>
        </w:rPr>
        <w:t xml:space="preserve"> Dejar constancia de que </w:t>
      </w:r>
      <w:r>
        <w:rPr>
          <w:rFonts w:ascii="Calibri" w:hAnsi="Calibri"/>
          <w:b/>
          <w:color w:val="0B0715"/>
          <w:sz w:val="21"/>
          <w:szCs w:val="21"/>
        </w:rPr>
        <w:t xml:space="preserve">AION entrega a TRANSPRENSA la plataforma Ascent en funcionamiento y en ambiente de producción</w:t>
      </w:r>
      <w:r>
        <w:rPr>
          <w:rFonts w:ascii="Calibri" w:hAnsi="Calibri"/>
          <w:color w:val="2B2A33"/>
          <w:sz w:val="21"/>
          <w:szCs w:val="21"/>
        </w:rPr>
        <w:t xml:space="preserve">, con sus accesos, su documentación y las verificaciones que se relacionan en este documento, y de que TRANSPRENSA la recibe a satisfacción. </w:t>
      </w:r>
    </w:p>
    <w:p>
      <w:pPr>
        <w:spacing w:before="0" w:after="150" w:line="276" w:lineRule="auto"/>
      </w:pPr>
      <w:r>
        <w:rPr>
          <w:rFonts w:ascii="Calibri" w:hAnsi="Calibri"/>
          <w:color w:val="2B2A33"/>
          <w:sz w:val="21"/>
          <w:szCs w:val="21"/>
        </w:rPr>
        <w:t xml:space="preserve"> Este acta no modifica ni reemplaza el contrato de referencia. Donde diga algo distinto de aquel, </w:t>
      </w:r>
      <w:r>
        <w:rPr>
          <w:rFonts w:ascii="Calibri" w:hAnsi="Calibri"/>
          <w:b/>
          <w:color w:val="0B0715"/>
          <w:sz w:val="21"/>
          <w:szCs w:val="21"/>
        </w:rPr>
        <w:t xml:space="preserve">manda el contrato</w:t>
      </w:r>
      <w:r>
        <w:rPr>
          <w:rFonts w:ascii="Calibri" w:hAnsi="Calibri"/>
          <w:color w:val="2B2A33"/>
          <w:sz w:val="21"/>
          <w:szCs w:val="21"/>
        </w:rPr>
        <w:t xml:space="preserve">. </w:t>
      </w:r>
    </w:p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3. Qué se entrega, identificado</w:t>
      </w:r>
    </w:p>
    <w:tbl>
      <w:tblPr>
        <w:tblW w:w="5000" w:type="pct"/>
        <w:tblBorders>
          <w:top w:val="single" w:sz="4" w:color="D8D2CA"/>
          <w:left w:val="single" w:sz="4" w:color="D8D2CA"/>
          <w:bottom w:val="single" w:sz="4" w:color="D8D2CA"/>
          <w:right w:val="single" w:sz="4" w:color="D8D2CA"/>
          <w:insideH w:val="single" w:sz="4" w:color="D8D2CA"/>
          <w:insideV w:val="single" w:sz="4" w:color="D8D2CA"/>
        </w:tblBorders>
        <w:tblCellMar/>
      </w:tblPr>
      <w:tblGrid>
        <w:gridCol/>
        <w:gridCol/>
      </w:tblGrid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Producto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Ascent — plataforma SaaS de formación corporativa (LMS multiempresa)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Instancia de TRANSPRENSA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https://transprensa.ascentio.app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En producción desde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9 de septiembre de 2026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Versión entregada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[v1.0]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· referencia interna de código </w:t>
            </w:r>
            <w:r>
              <w:rPr>
                <w:rFonts w:ascii="Consolas" w:hAnsi="Consolas"/>
                <w:color w:val="2B2A33"/>
                <w:sz w:val="20"/>
                <w:szCs w:val="20"/>
              </w:rPr>
              <w:t xml:space="preserve">8249d8b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Modalidad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Servicio en la nube (SaaS). El programa se ejecuta en infraestructura administrada por AION; TRANSPRENSA accede por navegador, sin instalar nada.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Aislamiento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La información de TRANSPRENSA está separada de la de cualquier otro cliente por doble control en la base de datos, y su dirección propia identifica la empresa antes incluso de iniciar sesión.</w:t>
            </w:r>
          </w:p>
        </w:tc>
      </w:tr>
    </w:tbl>
    <w:p>
      <w:pPr>
        <w:spacing w:before="0" w:after="100" w:line="276" w:lineRule="auto"/>
      </w:pPr>
    </w:p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4. Alcance funcional entregado</w:t>
      </w:r>
    </w:p>
    <w:p>
      <w:pPr>
        <w:spacing w:before="0" w:after="150" w:line="276" w:lineRule="auto"/>
      </w:pPr>
      <w:r>
        <w:rPr>
          <w:rFonts w:ascii="Calibri" w:hAnsi="Calibri"/>
          <w:color w:val="2B2A33"/>
          <w:sz w:val="21"/>
          <w:szCs w:val="21"/>
        </w:rPr>
        <w:t xml:space="preserve"> Todo lo que sigue está </w:t>
      </w:r>
      <w:r>
        <w:rPr>
          <w:rFonts w:ascii="Calibri" w:hAnsi="Calibri"/>
          <w:b/>
          <w:color w:val="0B0715"/>
          <w:sz w:val="21"/>
          <w:szCs w:val="21"/>
        </w:rPr>
        <w:t xml:space="preserve">en producción y operativo</w:t>
      </w:r>
      <w:r>
        <w:rPr>
          <w:rFonts w:ascii="Calibri" w:hAnsi="Calibri"/>
          <w:color w:val="2B2A33"/>
          <w:sz w:val="21"/>
          <w:szCs w:val="21"/>
        </w:rPr>
        <w:t xml:space="preserve">. Lo que no aparezca en esta tabla no forma parte de la entrega; el apartado 8 lo detalla. </w:t>
      </w:r>
    </w:p>
    <w:tbl>
      <w:tblPr>
        <w:tblW w:w="5000" w:type="pct"/>
        <w:tblBorders>
          <w:top w:val="single" w:sz="4" w:color="D8D2CA"/>
          <w:left w:val="single" w:sz="4" w:color="D8D2CA"/>
          <w:bottom w:val="single" w:sz="4" w:color="D8D2CA"/>
          <w:right w:val="single" w:sz="4" w:color="D8D2CA"/>
          <w:insideH w:val="single" w:sz="4" w:color="D8D2CA"/>
          <w:insideV w:val="single" w:sz="4" w:color="D8D2CA"/>
        </w:tblBorders>
        <w:tblCellMar/>
      </w:tblPr>
      <w:tblGrid>
        <w:gridCol/>
        <w:gridCol/>
      </w:tblGrid>
      <w:tr>
        <w:trPr>
          <w:cantSplit/>
        </w:trPr>
        <w:tc>
          <w:tcPr>
            <w:tcW w:w="1200" w:type="pct"/>
            <w:shd w:val="clear" w:fill="F3F1E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pacing w:val="20"/>
                <w:caps/>
                <w:color w:val="5B5866"/>
                <w:sz w:val="17"/>
                <w:szCs w:val="17"/>
              </w:rPr>
              <w:t xml:space="preserve">Módulo</w:t>
            </w:r>
          </w:p>
        </w:tc>
        <w:tc>
          <w:tcPr>
            <w:tcW w:w="2500" w:type="pct"/>
            <w:shd w:val="clear" w:fill="F3F1E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pacing w:val="20"/>
                <w:caps/>
                <w:color w:val="5B5866"/>
                <w:sz w:val="17"/>
                <w:szCs w:val="17"/>
              </w:rPr>
              <w:t xml:space="preserve">Qué comprende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Configuración de la empresa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Identidad visual propia (logotipo y dos colores), catálogos de áreas, cargos, regionales, procesos y sedes, tipos de formación configurables, políticas de retención documental y contacto de soporte visible para el personal.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Personas y accesos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Alta individual y carga masiva desde plantilla; perfil completo por persona; roles de administrador, analista, instructor y usuario final con permisos por módulo; restablecimiento de contraseña; bloqueo y reactivación; aceptación de tratamiento de datos y de firma electrónica en el primer ingreso.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Catálogo formativo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Lecciones en tarjetas con texto, imagen, vídeo, documentos y presentaciones; editor con vista previa móvil; publicación que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congela una versión inmutable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; biblioteca de lecciones reutilizables entre formaciones.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Evaluaciones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Banco de preguntas por tema con versionado, exámenes con bloques fijos y bloques al azar, nota mínima y número de intentos heredables de la empresa o exigibles por examen, corrección en el servidor y bloqueo tras agotar intentos.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Convocatorias y asistencia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Sesiones con fecha, instructor, lugar y cupo; participantes proyectados calculados y congelados al publicar; asistencia por código QR, registrada por el instructor o firmada en pantalla;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acta de asistencia exportable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Asignación automática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Reglas por cargo, área, regional o proceso; obligación que nace con el ingreso de la persona y antes de su primer día; recurrencias («cada N meses»); vencimientos; retiro automático de la obligación cuando alguien deja de pertenecer al grupo destinatario.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Plan anual de capacitación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Renglones del año con horas e indicadores de ejecutadas contra programadas y de cobertura, medidos de forma aislada de lo que ocurre fuera del plan.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Encuestas y eficacia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Encuesta de satisfacción al participante y evaluación de eficacia diferida que responde el jefe del área, no el propio alumno.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Constancias y certificados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Diseño del documento por tipo de formación, emisión automática al cumplir, vigencia y vencimiento, anulación con motivo, y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página pública de verificación por código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abierta a terceros.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Seguimiento e indicadores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Estado de cada persona y formación con el motivo del incumplimiento; informe de vencimientos separando lo que hay que reprogramar de lo que hay que perseguir; análisis por área, cargo, regional, servicio, proceso, tipo y norma; evolución mes a mes; y en qué preguntas falla la gente.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Perfil de la persona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Página única con la trayectoria formativa completa, lo que le falta, sus constancias y los papeles emitidos por terceros. Responde a la petición «demuéstreme lo de esta persona» sin abrir otra pantalla.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Experiencia del trabajador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Aplicación instalable en el teléfono, pensada para señal intermitente; lecciones en tarjetas; repaso de lo que falló; sus pendientes, vencimientos y constancias.</w:t>
            </w:r>
          </w:p>
        </w:tc>
      </w:tr>
      <w:tr>
        <w:trPr>
          <w:cantSplit/>
        </w:trPr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Avisos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Avisos dentro de la plataforma y por correo: asignación nueva, vencimiento próximo, inducción incompleta antes del ingreso, intentos agotados, solicitud y resultado de aprobación, convocatoria próxima, eficacia pendiente y constancia emitida. Resumen semanal de vencimientos a quien corresponda.</w:t>
            </w:r>
          </w:p>
        </w:tc>
      </w:tr>
    </w:tbl>
    <w:p>
      <w:pPr>
        <w:spacing w:before="0" w:after="100" w:line="276" w:lineRule="auto"/>
      </w:pPr>
    </w:p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5. Infraestructura y servicio</w:t>
      </w:r>
    </w:p>
    <w:tbl>
      <w:tblPr>
        <w:tblW w:w="5000" w:type="pct"/>
        <w:tblBorders>
          <w:top w:val="single" w:sz="4" w:color="D8D2CA"/>
          <w:left w:val="single" w:sz="4" w:color="D8D2CA"/>
          <w:bottom w:val="single" w:sz="4" w:color="D8D2CA"/>
          <w:right w:val="single" w:sz="4" w:color="D8D2CA"/>
          <w:insideH w:val="single" w:sz="4" w:color="D8D2CA"/>
          <w:insideV w:val="single" w:sz="4" w:color="D8D2CA"/>
        </w:tblBorders>
        <w:tblCellMar/>
      </w:tblPr>
      <w:tblGrid>
        <w:gridCol/>
        <w:gridCol/>
      </w:tblGrid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Servidor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Servidor dedicado en Miami (Estados Unidos), elegido por latencia hacia Colombia. Uso exclusivo para esta plataforma.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Dominio y cifrado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Dominio propio con certificado TLS renovado automáticamente. Todo el tráfico va cifrado.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Vídeo y archivos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Almacenamiento de objetos independiente del servidor, servido mediante enlaces firmados con caducidad y atados a la sesión de quien los abre.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Copias de seguridad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Copia completa diaria de la base de datos, cifrada y guardada fuera del servidor, con registro de cada ejecución. Además, copia automática de la máquina completa.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Restauración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Procedimiento de restauración documentado y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probado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sobre una base desechable, sin tocar producción.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Comprobación de estado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Dirección pública de salud del servicio, consultable en cualquier momento.</w:t>
            </w:r>
          </w:p>
        </w:tc>
      </w:tr>
    </w:tbl>
    <w:p>
      <w:pPr>
        <w:spacing w:before="0" w:after="100" w:line="276" w:lineRule="auto"/>
      </w:pPr>
    </w:p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6. Accesos entregados</w:t>
      </w:r>
    </w:p>
    <w:p>
      <w:pPr>
        <w:spacing w:before="0" w:after="150" w:line="276" w:lineRule="auto"/>
      </w:pPr>
      <w:r>
        <w:rPr>
          <w:rFonts w:ascii="Calibri" w:hAnsi="Calibri"/>
          <w:color w:val="2B2A33"/>
          <w:sz w:val="21"/>
          <w:szCs w:val="21"/>
        </w:rPr>
        <w:t xml:space="preserve"> Se entrega a TRANSPRENSA </w:t>
      </w:r>
      <w:r>
        <w:rPr>
          <w:rFonts w:ascii="Calibri" w:hAnsi="Calibri"/>
          <w:b/>
          <w:color w:val="0B0715"/>
          <w:sz w:val="21"/>
          <w:szCs w:val="21"/>
        </w:rPr>
        <w:t xml:space="preserve">una cuenta de administrador con control total sobre su empresa</w:t>
      </w:r>
      <w:r>
        <w:rPr>
          <w:rFonts w:ascii="Calibri" w:hAnsi="Calibri"/>
          <w:color w:val="2B2A33"/>
          <w:sz w:val="21"/>
          <w:szCs w:val="21"/>
        </w:rPr>
        <w:t xml:space="preserve">. </w:t>
      </w:r>
    </w:p>
    <w:tbl>
      <w:tblPr>
        <w:tblW w:w="5000" w:type="pct"/>
        <w:tblBorders/>
        <w:tblCellMar/>
      </w:tblPr>
      <w:tblGrid>
        <w:gridCol/>
      </w:tblGrid>
      <w:tr>
        <w:trPr>
          <w:cantSplit/>
        </w:trPr>
        <w:tc>
          <w:tcPr>
            <w:tcW w:w="5000" w:type="pct"/>
            <w:shd w:val="clear" w:fill="FFF6F1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Las contraseñas no viajan en este documento.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Se entregan por un canal distinto —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[canal]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— en el documento </w:t>
            </w:r>
            <w:r>
              <w:rPr>
                <w:rFonts w:ascii="Calibri" w:hAnsi="Calibri"/>
                <w:i/>
                <w:color w:val="2B2A33"/>
                <w:sz w:val="20"/>
                <w:szCs w:val="20"/>
              </w:rPr>
              <w:t xml:space="preserve">«Ficha de acceso»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, y al primer ingreso la plataforma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obliga a cambiarlas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. A partir de ese momento, la contraseña del administrador de TRANSPRENSA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no la conoce nadie de AION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. </w:t>
            </w:r>
          </w:p>
        </w:tc>
      </w:tr>
    </w:tbl>
    <w:p>
      <w:pPr>
        <w:spacing w:before="0" w:after="150" w:line="276" w:lineRule="auto"/>
      </w:pPr>
      <w:r>
        <w:rPr>
          <w:rFonts w:ascii="Calibri" w:hAnsi="Calibri"/>
          <w:color w:val="2B2A33"/>
          <w:sz w:val="21"/>
          <w:szCs w:val="21"/>
        </w:rPr>
        <w:t xml:space="preserve"> El administrador puede, desde ese momento y sin intervención de AION: crear el resto de las cuentas, asignar roles y permisos, restablecer la contraseña de cualquier persona, y bloquear o reactivar accesos. </w:t>
      </w:r>
    </w:p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7. Documentación entregada</w:t>
      </w:r>
    </w:p>
    <w:tbl>
      <w:tblPr>
        <w:tblW w:w="5000" w:type="pct"/>
        <w:tblBorders>
          <w:top w:val="single" w:sz="4" w:color="D8D2CA"/>
          <w:left w:val="single" w:sz="4" w:color="D8D2CA"/>
          <w:bottom w:val="single" w:sz="4" w:color="D8D2CA"/>
          <w:right w:val="single" w:sz="4" w:color="D8D2CA"/>
          <w:insideH w:val="single" w:sz="4" w:color="D8D2CA"/>
          <w:insideV w:val="single" w:sz="4" w:color="D8D2CA"/>
        </w:tblBorders>
        <w:tblCellMar/>
      </w:tblPr>
      <w:tblGrid>
        <w:gridCol/>
        <w:gridCol/>
      </w:tblGrid>
      <w:tr>
        <w:trPr>
          <w:cantSplit/>
        </w:trPr>
        <w:tc>
          <w:tcPr>
            <w:tcW w:w="1900" w:type="pct"/>
            <w:shd w:val="clear" w:fill="F3F1E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pacing w:val="20"/>
                <w:caps/>
                <w:color w:val="5B5866"/>
                <w:sz w:val="17"/>
                <w:szCs w:val="17"/>
              </w:rPr>
              <w:t xml:space="preserve">Documento</w:t>
            </w:r>
          </w:p>
        </w:tc>
        <w:tc>
          <w:tcPr>
            <w:tcW w:w="2500" w:type="pct"/>
            <w:shd w:val="clear" w:fill="F3F1E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pacing w:val="20"/>
                <w:caps/>
                <w:color w:val="5B5866"/>
                <w:sz w:val="17"/>
                <w:szCs w:val="17"/>
              </w:rPr>
              <w:t xml:space="preserve">Qué responde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Página de bienvenida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Los accesos, qué resuelve la plataforma, la evidencia que cubre cada norma y el plan de los primeros treinta días.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Esta acta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Qué se entrega, qué se verificó y en qué condiciones.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Ficha técnica y de servicio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Dónde vive la plataforma, cómo se cuidan los datos, cada cuánto se copian y qué ocurre el día que algo falle.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Ficha de acceso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Las credenciales de administración. Se entrega por canal aparte.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Guía de alta y gestión de personas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El alta una a una y la masiva, altas y bajas, y cómo se recupera un acceso.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Guía para montar una formación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De los documentos sueltos a la lección publicada, con examen y constancia.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Guía de los tipos de formación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Qué distingue cada tipo y cuándo usar cada uno.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Guía de las cifras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Qué significa cada número, qué acción pide y por qué dos porcentajes pueden no coincidir.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Guía de asistencia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Los tres mecanismos de toma de lista y cómo sale el acta.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Guía de evaluación de desempeño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El paso a paso completo, qué significa firmar y cómo se calcula la nota.</w:t>
            </w:r>
          </w:p>
        </w:tc>
      </w:tr>
    </w:tbl>
    <w:p>
      <w:pPr>
        <w:spacing w:before="0" w:after="100" w:line="276" w:lineRule="auto"/>
      </w:pPr>
    </w:p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8. Verificaciones realizadas antes de esta entrega</w:t>
      </w:r>
    </w:p>
    <w:p>
      <w:pPr>
        <w:spacing w:before="0" w:after="150" w:line="276" w:lineRule="auto"/>
      </w:pPr>
      <w:r>
        <w:rPr>
          <w:rFonts w:ascii="Calibri" w:hAnsi="Calibri"/>
          <w:color w:val="2B2A33"/>
          <w:sz w:val="21"/>
          <w:szCs w:val="21"/>
        </w:rPr>
        <w:t xml:space="preserve">No se declara «funciona»: se declara qué se comprobó y cómo.</w:t>
      </w:r>
    </w:p>
    <w:tbl>
      <w:tblPr>
        <w:tblW w:w="5000" w:type="pct"/>
        <w:tblBorders>
          <w:top w:val="single" w:sz="4" w:color="D8D2CA"/>
          <w:left w:val="single" w:sz="4" w:color="D8D2CA"/>
          <w:bottom w:val="single" w:sz="4" w:color="D8D2CA"/>
          <w:right w:val="single" w:sz="4" w:color="D8D2CA"/>
          <w:insideH w:val="single" w:sz="4" w:color="D8D2CA"/>
          <w:insideV w:val="single" w:sz="4" w:color="D8D2CA"/>
        </w:tblBorders>
        <w:tblCellMar/>
      </w:tblPr>
      <w:tblGrid>
        <w:gridCol/>
        <w:gridCol/>
      </w:tblGrid>
      <w:tr>
        <w:trPr>
          <w:cantSplit/>
        </w:trPr>
        <w:tc>
          <w:tcPr>
            <w:tcW w:w="1900" w:type="pct"/>
            <w:shd w:val="clear" w:fill="F3F1E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pacing w:val="20"/>
                <w:caps/>
                <w:color w:val="5B5866"/>
                <w:sz w:val="17"/>
                <w:szCs w:val="17"/>
              </w:rPr>
              <w:t xml:space="preserve">Comprobación</w:t>
            </w:r>
          </w:p>
        </w:tc>
        <w:tc>
          <w:tcPr>
            <w:tcW w:w="2500" w:type="pct"/>
            <w:shd w:val="clear" w:fill="F3F1E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pacing w:val="20"/>
                <w:caps/>
                <w:color w:val="5B5866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Pruebas automatizadas de recorrido completo, ejecutadas sobre la aplicación compilada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23 de 23 correctas.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Cubren los circuitos de punta a punta: alta de personas, montaje y publicación de una formación, convocatoria, asistencia, examen, constancia y permisos por rol.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Pruebas unitarias de la lógica del servidor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502 de 502 correctas.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Aislamiento entre empresas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Verificado con pruebas específicas: ninguna consulta puede alcanzar datos de otra empresa, ni siquiera por un error de programación.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Instalación desde cero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La base de datos se construye completa desde vacío. Comprobado en un entorno limpio, no sobre la base de desarrollo.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Copia de seguridad y restauración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Copia generada, subida al almacenamiento externo y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restaurada en una base desechable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, con recuento de registros. Producción no se tocó.</w:t>
            </w:r>
          </w:p>
        </w:tc>
      </w:tr>
      <w:tr>
        <w:trPr>
          <w:cantSplit/>
        </w:trPr>
        <w:tc>
          <w:tcPr>
            <w:tcW w:w="1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Servicio en línea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Dirección de salud respondiendo, certificado válido y renovación automática comprobada.</w:t>
            </w:r>
          </w:p>
        </w:tc>
      </w:tr>
    </w:tbl>
    <w:p>
      <w:pPr>
        <w:spacing w:before="0" w:after="100" w:line="276" w:lineRule="auto"/>
      </w:pPr>
    </w:p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9. Lo que esta entrega no comprende</w:t>
      </w:r>
    </w:p>
    <w:p>
      <w:pPr>
        <w:spacing w:before="0" w:after="150" w:line="276" w:lineRule="auto"/>
      </w:pPr>
      <w:r>
        <w:rPr>
          <w:rFonts w:ascii="Calibri" w:hAnsi="Calibri"/>
          <w:color w:val="2B2A33"/>
          <w:sz w:val="21"/>
          <w:szCs w:val="21"/>
        </w:rPr>
        <w:t xml:space="preserve"> Se enumera para que no haya expectativa donde no hay compromiso. Nada de esto es un defecto: son alcances que no entraron en esta fase. 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Contenido formativo.</w:t>
      </w:r>
      <w:r>
        <w:rPr>
          <w:rFonts w:ascii="Calibri" w:hAnsi="Calibri"/>
          <w:color w:val="2B2A33"/>
          <w:sz w:val="20"/>
          <w:szCs w:val="20"/>
        </w:rPr>
        <w:t xml:space="preserve"> La plataforma se entrega con su estructura y su configuración, no con los cursos. El contenido —tarjetas, vídeos, preguntas— lo produce TRANSPRENSA, salvo pacto expreso y aparte.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Carga de datos históricos.</w:t>
      </w:r>
      <w:r>
        <w:rPr>
          <w:rFonts w:ascii="Calibri" w:hAnsi="Calibri"/>
          <w:color w:val="2B2A33"/>
          <w:sz w:val="20"/>
          <w:szCs w:val="20"/>
        </w:rPr>
        <w:t xml:space="preserve"> Las capacitaciones dictadas antes de la puesta en marcha no se migran en esta fase.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Subtítulos y transcripción automática de vídeo.</w:t>
      </w:r>
      <w:r>
        <w:rPr>
          <w:rFonts w:ascii="Calibri" w:hAnsi="Calibri"/>
          <w:color w:val="2B2A33"/>
          <w:sz w:val="20"/>
          <w:szCs w:val="20"/>
        </w:rPr>
        <w:t xml:space="preserve"> Prevista para una fase posterior.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Contenido en formato SCORM</w:t>
      </w:r>
      <w:r>
        <w:rPr>
          <w:rFonts w:ascii="Calibri" w:hAnsi="Calibri"/>
          <w:color w:val="2B2A33"/>
          <w:sz w:val="20"/>
          <w:szCs w:val="20"/>
        </w:rPr>
        <w:t xml:space="preserve"> comprado a terceros. No se ejecuta en esta fase.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Avisos por WhatsApp.</w:t>
      </w:r>
      <w:r>
        <w:rPr>
          <w:rFonts w:ascii="Calibri" w:hAnsi="Calibri"/>
          <w:color w:val="2B2A33"/>
          <w:sz w:val="20"/>
          <w:szCs w:val="20"/>
        </w:rPr>
        <w:t xml:space="preserve"> Los avisos van dentro de la plataforma y por correo.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Integración con nómina u otros sistemas.</w:t>
      </w:r>
      <w:r>
        <w:rPr>
          <w:rFonts w:ascii="Calibri" w:hAnsi="Calibri"/>
          <w:color w:val="2B2A33"/>
          <w:sz w:val="20"/>
          <w:szCs w:val="20"/>
        </w:rPr>
        <w:t xml:space="preserve"> Las personas se cargan por plantilla; no hay sincronización automática con otro sistema.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Firma digital certificada por entidad autorizada.</w:t>
      </w:r>
      <w:r>
        <w:rPr>
          <w:rFonts w:ascii="Calibri" w:hAnsi="Calibri"/>
          <w:color w:val="2B2A33"/>
          <w:sz w:val="20"/>
          <w:szCs w:val="20"/>
        </w:rPr>
        <w:t xml:space="preserve"> Se implementa firma electrónica con sello de tiempo, huella criptográfica y registro inmutable, conforme a la Ley 527 de 1999. No es lo mismo que un certificado digital emitido por una entidad de certificación acreditada.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Conversión automática de presentaciones.</w:t>
      </w:r>
      <w:r>
        <w:rPr>
          <w:rFonts w:ascii="Calibri" w:hAnsi="Calibri"/>
          <w:color w:val="2B2A33"/>
          <w:sz w:val="20"/>
          <w:szCs w:val="20"/>
        </w:rPr>
        <w:t xml:space="preserve"> Las presentaciones se adjuntan en PDF.</w:t>
      </w:r>
    </w:p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10. Lo que queda del lado de TRANSPRENSA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Custodiar sus credenciales</w:t>
      </w:r>
      <w:r>
        <w:rPr>
          <w:rFonts w:ascii="Calibri" w:hAnsi="Calibri"/>
          <w:color w:val="2B2A33"/>
          <w:sz w:val="20"/>
          <w:szCs w:val="20"/>
        </w:rPr>
        <w:t xml:space="preserve"> y mantener actualizada la lista de quién tiene acceso de administración. Una cuenta de administrador puede modificar y borrar configuración de toda la empresa.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Cargar y mantener los datos de su personal</w:t>
      </w:r>
      <w:r>
        <w:rPr>
          <w:rFonts w:ascii="Calibri" w:hAnsi="Calibri"/>
          <w:color w:val="2B2A33"/>
          <w:sz w:val="20"/>
          <w:szCs w:val="20"/>
        </w:rPr>
        <w:t xml:space="preserve">: altas, cambios de cargo y retiros. Las obligaciones de formación se calculan a partir de esos datos; si están desactualizados, los indicadores lo estarán.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Producir y aprobar el contenido formativo</w:t>
      </w:r>
      <w:r>
        <w:rPr>
          <w:rFonts w:ascii="Calibri" w:hAnsi="Calibri"/>
          <w:color w:val="2B2A33"/>
          <w:sz w:val="20"/>
          <w:szCs w:val="20"/>
        </w:rPr>
        <w:t xml:space="preserve"> y responder por su exactitud técnica y legal.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Actuar como responsable del tratamiento</w:t>
      </w:r>
      <w:r>
        <w:rPr>
          <w:rFonts w:ascii="Calibri" w:hAnsi="Calibri"/>
          <w:color w:val="2B2A33"/>
          <w:sz w:val="20"/>
          <w:szCs w:val="20"/>
        </w:rPr>
        <w:t xml:space="preserve"> de los datos personales de su personal, incluidos los datos sensibles —la firma digitalizada lo es—, y mantener vigente su política de tratamiento y sus autorizaciones.</w:t>
      </w:r>
    </w:p>
    <w:p>
      <w:pPr>
        <w:spacing w:before="0" w:after="90" w:line="276" w:lineRule="auto"/>
        <w:ind w:left="360" w:hanging="200"/>
      </w:pPr>
      <w:r>
        <w:rPr>
          <w:rFonts w:ascii="Calibri" w:hAnsi="Calibri"/>
          <w:color w:val="E8734A"/>
          <w:sz w:val="20"/>
          <w:szCs w:val="20"/>
        </w:rPr>
        <w:t xml:space="preserve">•  </w:t>
      </w:r>
      <w:r>
        <w:rPr>
          <w:rFonts w:ascii="Calibri" w:hAnsi="Calibri"/>
          <w:b/>
          <w:color w:val="0B0715"/>
          <w:sz w:val="20"/>
          <w:szCs w:val="20"/>
        </w:rPr>
        <w:t xml:space="preserve">Designar un interlocutor</w:t>
      </w:r>
      <w:r>
        <w:rPr>
          <w:rFonts w:ascii="Calibri" w:hAnsi="Calibri"/>
          <w:color w:val="2B2A33"/>
          <w:sz w:val="20"/>
          <w:szCs w:val="20"/>
        </w:rPr>
        <w:t xml:space="preserve"> para el soporte, con nombre y cargo.</w:t>
      </w:r>
    </w:p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11. Soporte, garantía y continuidad</w:t>
      </w:r>
    </w:p>
    <w:tbl>
      <w:tblPr>
        <w:tblW w:w="5000" w:type="pct"/>
        <w:tblBorders>
          <w:top w:val="single" w:sz="4" w:color="D8D2CA"/>
          <w:left w:val="single" w:sz="4" w:color="D8D2CA"/>
          <w:bottom w:val="single" w:sz="4" w:color="D8D2CA"/>
          <w:right w:val="single" w:sz="4" w:color="D8D2CA"/>
          <w:insideH w:val="single" w:sz="4" w:color="D8D2CA"/>
          <w:insideV w:val="single" w:sz="4" w:color="D8D2CA"/>
        </w:tblBorders>
        <w:tblCellMar/>
      </w:tblPr>
      <w:tblGrid>
        <w:gridCol/>
        <w:gridCol/>
      </w:tblGrid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Garantía de corrección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[N]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días desde la firma de este acta para la corrección sin costo de defectos atribuibles al programa entregado.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Canal de soporte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[WhatsApp / correo]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Horario de atención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[días y horas]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Tiempo de primera respuesta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[N horas hábiles]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Disponibilidad comprometida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[% mensual]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, medida sobre la dirección pública de salud del servicio.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Ventanas de mantenimiento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Se avisan con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[N]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horas de antelación y se programan fuera del horario laboral.</w:t>
            </w:r>
          </w:p>
        </w:tc>
      </w:tr>
      <w:tr>
        <w:trPr>
          <w:cantSplit/>
        </w:trPr>
        <w:tc>
          <w:tcPr>
            <w:tcW w:w="2500" w:type="pct"/>
            <w:shd w:val="clear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Salida de los datos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TRANSPRENSA puede solicitar en cualquier momento la exportación completa de su información en formato de uso corriente.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Los datos son suyos.</w:t>
            </w:r>
          </w:p>
        </w:tc>
      </w:tr>
    </w:tbl>
    <w:p>
      <w:pPr>
        <w:spacing w:before="0" w:after="100" w:line="276" w:lineRule="auto"/>
      </w:pPr>
    </w:p>
    <w:tbl>
      <w:tblPr>
        <w:tblW w:w="5000" w:type="pct"/>
        <w:tblBorders/>
        <w:tblCellMar/>
      </w:tblPr>
      <w:tblGrid>
        <w:gridCol/>
      </w:tblGrid>
      <w:tr>
        <w:trPr>
          <w:cantSplit/>
        </w:trPr>
        <w:tc>
          <w:tcPr>
            <w:tcW w:w="5000" w:type="pct"/>
            <w:shd w:val="clear" w:fill="FFF6F1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b/>
                <w:color w:val="0B0715"/>
                <w:sz w:val="20"/>
                <w:szCs w:val="20"/>
              </w:rPr>
              <w:t xml:space="preserve">Estos siete valores tienen que coincidir con el contrato de referencia.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Si el contrato dice otra cosa, se corrigen aquí antes de firmar; no se firman dos documentos que prometen cosas distintas. </w:t>
            </w:r>
          </w:p>
        </w:tc>
      </w:tr>
    </w:tbl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12. Tratamiento de datos personales</w:t>
      </w:r>
    </w:p>
    <w:p>
      <w:pPr>
        <w:spacing w:before="0" w:after="150" w:line="276" w:lineRule="auto"/>
      </w:pPr>
      <w:r>
        <w:rPr>
          <w:rFonts w:ascii="Calibri" w:hAnsi="Calibri"/>
          <w:color w:val="2B2A33"/>
          <w:sz w:val="21"/>
          <w:szCs w:val="21"/>
        </w:rPr>
        <w:t xml:space="preserve"> Para efectos de la Ley 1581 de 2012, </w:t>
      </w:r>
      <w:r>
        <w:rPr>
          <w:rFonts w:ascii="Calibri" w:hAnsi="Calibri"/>
          <w:b/>
          <w:color w:val="0B0715"/>
          <w:sz w:val="21"/>
          <w:szCs w:val="21"/>
        </w:rPr>
        <w:t xml:space="preserve">TRANSPRENSA es responsable</w:t>
      </w:r>
      <w:r>
        <w:rPr>
          <w:rFonts w:ascii="Calibri" w:hAnsi="Calibri"/>
          <w:color w:val="2B2A33"/>
          <w:sz w:val="21"/>
          <w:szCs w:val="21"/>
        </w:rPr>
        <w:t xml:space="preserve"> del tratamiento de los datos personales de su personal y </w:t>
      </w:r>
      <w:r>
        <w:rPr>
          <w:rFonts w:ascii="Calibri" w:hAnsi="Calibri"/>
          <w:b/>
          <w:color w:val="0B0715"/>
          <w:sz w:val="21"/>
          <w:szCs w:val="21"/>
        </w:rPr>
        <w:t xml:space="preserve">AION actúa como encargado</w:t>
      </w:r>
      <w:r>
        <w:rPr>
          <w:rFonts w:ascii="Calibri" w:hAnsi="Calibri"/>
          <w:color w:val="2B2A33"/>
          <w:sz w:val="21"/>
          <w:szCs w:val="21"/>
        </w:rPr>
        <w:t xml:space="preserve">, tratándolos únicamente conforme a sus instrucciones y para prestar el servicio. </w:t>
      </w:r>
    </w:p>
    <w:p>
      <w:pPr>
        <w:spacing w:before="0" w:after="150" w:line="276" w:lineRule="auto"/>
      </w:pPr>
      <w:r>
        <w:rPr>
          <w:rFonts w:ascii="Calibri" w:hAnsi="Calibri"/>
          <w:color w:val="2B2A33"/>
          <w:sz w:val="21"/>
          <w:szCs w:val="21"/>
        </w:rPr>
        <w:t xml:space="preserve"> AION no cede ni comercializa esa información, aplica las medidas de seguridad descritas en la ficha técnica y, terminada la relación contractual, devuelve o suprime los datos según instruya TRANSPRENSA, salvo los que deban conservarse por mandato legal —señaladamente los registros de formación en seguridad y salud en el trabajo, con retención de veinte años tras el retiro del trabajador, conforme al Decreto 1072 de 2015—. </w:t>
      </w:r>
    </w:p>
    <w:p>
      <w:pPr>
        <w:spacing w:before="380" w:after="120" w:line="276" w:lineRule="auto"/>
        <w:pBdr>
          <w:bottom w:val="single" w:sz="6" w:space="4" w:color="CFC8BE"/>
        </w:pBdr>
        <w:keepNext/>
      </w:pPr>
      <w:r>
        <w:rPr>
          <w:rFonts w:ascii="Georgia" w:hAnsi="Georgia"/>
          <w:b/>
          <w:color w:val="0B0715"/>
          <w:sz w:val="30"/>
          <w:szCs w:val="30"/>
        </w:rPr>
        <w:t xml:space="preserve">13. Constancia</w:t>
      </w:r>
    </w:p>
    <w:p>
      <w:pPr>
        <w:spacing w:before="0" w:after="150" w:line="276" w:lineRule="auto"/>
      </w:pPr>
      <w:r>
        <w:rPr>
          <w:rFonts w:ascii="Calibri" w:hAnsi="Calibri"/>
          <w:color w:val="2B2A33"/>
          <w:sz w:val="21"/>
          <w:szCs w:val="21"/>
        </w:rPr>
        <w:t xml:space="preserve"> TRANSPRENSA declara haber recibido la plataforma en funcionamiento, con los accesos y la documentación relacionados, y haberla revisado a satisfacción. AION declara haber entregado lo aquí descrito y ejecutado las verificaciones del apartado 8. </w:t>
      </w:r>
    </w:p>
    <w:p>
      <w:pPr>
        <w:spacing w:before="0" w:after="150" w:line="276" w:lineRule="auto"/>
      </w:pPr>
      <w:r>
        <w:rPr>
          <w:rFonts w:ascii="Calibri" w:hAnsi="Calibri"/>
          <w:color w:val="2B2A33"/>
          <w:sz w:val="21"/>
          <w:szCs w:val="21"/>
        </w:rPr>
        <w:t xml:space="preserve"> Se firma en </w:t>
      </w:r>
      <w:r>
        <w:rPr>
          <w:rFonts w:ascii="Calibri" w:hAnsi="Calibri"/>
          <w:b/>
          <w:color w:val="6B4A05"/>
          <w:sz w:val="21"/>
          <w:szCs w:val="21"/>
          <w:shd w:val="clear" w:fill="FFF0D6"/>
        </w:rPr>
        <w:t xml:space="preserve">[ciudad]</w:t>
      </w:r>
      <w:r>
        <w:rPr>
          <w:rFonts w:ascii="Calibri" w:hAnsi="Calibri"/>
          <w:color w:val="2B2A33"/>
          <w:sz w:val="21"/>
          <w:szCs w:val="21"/>
        </w:rPr>
        <w:t xml:space="preserve">, a los </w:t>
      </w:r>
      <w:r>
        <w:rPr>
          <w:rFonts w:ascii="Calibri" w:hAnsi="Calibri"/>
          <w:b/>
          <w:color w:val="6B4A05"/>
          <w:sz w:val="21"/>
          <w:szCs w:val="21"/>
          <w:shd w:val="clear" w:fill="FFF0D6"/>
        </w:rPr>
        <w:t xml:space="preserve">[día]</w:t>
      </w:r>
      <w:r>
        <w:rPr>
          <w:rFonts w:ascii="Calibri" w:hAnsi="Calibri"/>
          <w:color w:val="2B2A33"/>
          <w:sz w:val="21"/>
          <w:szCs w:val="21"/>
        </w:rPr>
        <w:t xml:space="preserve"> días del mes de </w:t>
      </w:r>
      <w:r>
        <w:rPr>
          <w:rFonts w:ascii="Calibri" w:hAnsi="Calibri"/>
          <w:b/>
          <w:color w:val="6B4A05"/>
          <w:sz w:val="21"/>
          <w:szCs w:val="21"/>
          <w:shd w:val="clear" w:fill="FFF0D6"/>
        </w:rPr>
        <w:t xml:space="preserve">[mes]</w:t>
      </w:r>
      <w:r>
        <w:rPr>
          <w:rFonts w:ascii="Calibri" w:hAnsi="Calibri"/>
          <w:color w:val="2B2A33"/>
          <w:sz w:val="21"/>
          <w:szCs w:val="21"/>
        </w:rPr>
        <w:t xml:space="preserve"> de 2026, en dos ejemplares del mismo tenor. </w:t>
      </w:r>
    </w:p>
    <w:tbl>
      <w:tblPr>
        <w:tblW w:w="5000" w:type="pct"/>
        <w:tblBorders/>
        <w:tblCellMar/>
      </w:tblPr>
      <w:tblGrid>
        <w:gridCol/>
        <w:gridCol/>
        <w:gridCol/>
      </w:tblGrid>
      <w:tr>
        <w:trPr>
          <w:cantSplit/>
        </w:trPr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10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Por AION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Nombre: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[nombre]</w:t>
            </w:r>
            <w:r>
              <w:br/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Cargo: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[cargo]</w:t>
            </w:r>
            <w:r>
              <w:br/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Documento: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[C.C.]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10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Por Transportadora La Prensa del Valle S.A.S.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Nombre: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[nombre]</w:t>
            </w:r>
            <w:r>
              <w:br/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Cargo: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[cargo]</w:t>
            </w:r>
            <w:r>
              <w:br/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Documento: </w:t>
            </w:r>
            <w:r>
              <w:rPr>
                <w:rFonts w:ascii="Calibri" w:hAnsi="Calibri"/>
                <w:b/>
                <w:color w:val="6B4A05"/>
                <w:sz w:val="20"/>
                <w:szCs w:val="20"/>
                <w:shd w:val="clear" w:fill="FFF0D6"/>
              </w:rPr>
              <w:t xml:space="preserve">[C.C.]</w:t>
            </w:r>
            <w:r>
              <w:rPr>
                <w:rFonts w:ascii="Calibri" w:hAnsi="Calibri"/>
                <w:color w:val="2B2A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100" w:line="276" w:lineRule="auto"/>
      </w:pPr>
    </w:p>
    <w:p>
      <w:pPr>
        <w:spacing w:before="480" w:after="0" w:line="276" w:lineRule="auto"/>
      </w:pPr>
      <w:r>
        <w:rPr>
          <w:rFonts w:ascii="Calibri" w:hAnsi="Calibri"/>
          <w:color w:val="8A8794"/>
          <w:sz w:val="16"/>
          <w:szCs w:val="16"/>
        </w:rPr>
        <w:t xml:space="preserve"> Ascent — un producto de AION · Acta de entrega · Transportadora La Prensa del Valle S.A.S. · Documento confidencial. </w:t>
      </w:r>
    </w:p>
    <w:sectPr>
      <w:pgSz w:w="12240" w:h="15840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szCs w:val="21"/>
        <w:color w:val="2B2A33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Acta de entrega — Ascent · TRANSPRENSA</dc:title>
  <dc:creator>AION — Ascent</dc:creator>
  <cp:lastModifiedBy>AION — Ascent</cp:lastModifiedBy>
  <dcterms:created xsi:type="dcterms:W3CDTF">2026-09-10T02:03:59Z</dcterms:created>
</cp:coreProperties>
</file>