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0"/>
      </w:tblGrid>
      <w:tr w:rsidR="00ED1DDC" w14:paraId="6FA8B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1E0958"/>
            <w:tcMar>
              <w:top w:w="460" w:type="dxa"/>
              <w:left w:w="460" w:type="dxa"/>
              <w:bottom w:w="460" w:type="dxa"/>
              <w:right w:w="460" w:type="dxa"/>
            </w:tcMar>
          </w:tcPr>
          <w:p w14:paraId="725D52F5" w14:textId="77777777" w:rsidR="00ED1DDC" w:rsidRDefault="00000000">
            <w:pPr>
              <w:spacing w:after="40" w:line="276" w:lineRule="auto"/>
            </w:pPr>
            <w:r>
              <w:rPr>
                <w:rFonts w:ascii="Georgia" w:hAnsi="Georgia"/>
                <w:b/>
                <w:color w:val="FFFFFF"/>
                <w:spacing w:val="100"/>
                <w:sz w:val="30"/>
                <w:szCs w:val="30"/>
              </w:rPr>
              <w:t>ASCENT</w:t>
            </w:r>
          </w:p>
          <w:p w14:paraId="014467E2" w14:textId="77777777" w:rsidR="00ED1DDC" w:rsidRDefault="00000000">
            <w:pPr>
              <w:spacing w:after="320" w:line="276" w:lineRule="auto"/>
            </w:pPr>
            <w:r>
              <w:rPr>
                <w:color w:val="B9A9E8"/>
                <w:spacing w:val="40"/>
                <w:sz w:val="16"/>
                <w:szCs w:val="16"/>
              </w:rPr>
              <w:t>ANEXO TÉCNICO</w:t>
            </w:r>
          </w:p>
          <w:p w14:paraId="38520BB7" w14:textId="77777777" w:rsidR="00ED1DDC" w:rsidRDefault="00000000">
            <w:pPr>
              <w:spacing w:line="276" w:lineRule="auto"/>
            </w:pPr>
            <w:r>
              <w:rPr>
                <w:rFonts w:ascii="Georgia" w:hAnsi="Georgia"/>
                <w:color w:val="FFFFFF"/>
                <w:sz w:val="52"/>
                <w:szCs w:val="52"/>
              </w:rPr>
              <w:t xml:space="preserve"> Ficha técnica</w:t>
            </w:r>
            <w:r>
              <w:br/>
            </w:r>
            <w:r>
              <w:rPr>
                <w:rFonts w:ascii="Georgia" w:hAnsi="Georgia"/>
                <w:color w:val="FFFFFF"/>
                <w:sz w:val="52"/>
                <w:szCs w:val="52"/>
              </w:rPr>
              <w:t xml:space="preserve">y de servicio </w:t>
            </w:r>
          </w:p>
          <w:p w14:paraId="3E983151" w14:textId="77777777" w:rsidR="00ED1DDC" w:rsidRDefault="00000000">
            <w:pPr>
              <w:spacing w:after="0" w:line="276" w:lineRule="auto"/>
            </w:pPr>
            <w:r>
              <w:rPr>
                <w:color w:val="C9BCEC"/>
              </w:rPr>
              <w:t>Dónde vive la plataforma, cómo se cuidan los datos y qué pasa el día que algo falle.</w:t>
            </w:r>
          </w:p>
        </w:tc>
      </w:tr>
    </w:tbl>
    <w:p w14:paraId="3705DFAA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1. Para qué sirve este documento</w:t>
      </w:r>
    </w:p>
    <w:p w14:paraId="77624968" w14:textId="77777777" w:rsidR="00ED1DDC" w:rsidRDefault="00000000">
      <w:pPr>
        <w:spacing w:after="150" w:line="276" w:lineRule="auto"/>
      </w:pPr>
      <w:r>
        <w:t xml:space="preserve"> Está escrito para dos lectores a la vez: </w:t>
      </w:r>
      <w:r>
        <w:rPr>
          <w:b/>
          <w:color w:val="0B0715"/>
        </w:rPr>
        <w:t>quien firma</w:t>
      </w:r>
      <w:r>
        <w:t xml:space="preserve"> —y necesita saber qué riesgo asume— y </w:t>
      </w:r>
      <w:r>
        <w:rPr>
          <w:b/>
          <w:color w:val="0B0715"/>
        </w:rPr>
        <w:t>quien audita o revisa sistemas</w:t>
      </w:r>
      <w:r>
        <w:t xml:space="preserve"> —y necesita el detalle—. Cada apartado empieza por lo primero y termina por lo segundo. </w:t>
      </w:r>
    </w:p>
    <w:p w14:paraId="10A71405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2. Dónde vive la plataforma</w:t>
      </w:r>
    </w:p>
    <w:p w14:paraId="74B7B365" w14:textId="77777777" w:rsidR="00ED1DDC" w:rsidRDefault="00000000">
      <w:pPr>
        <w:spacing w:after="150" w:line="276" w:lineRule="auto"/>
      </w:pPr>
      <w:r>
        <w:t xml:space="preserve"> Ascent se presta como </w:t>
      </w:r>
      <w:r>
        <w:rPr>
          <w:b/>
          <w:color w:val="0B0715"/>
        </w:rPr>
        <w:t>servicio en la nube</w:t>
      </w:r>
      <w:r>
        <w:t xml:space="preserve">. TRANSPRENSA no instala nada ni administra ningún servidor: entra por navegador a una dirección propia, y la infraestructura la opera AION. 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5160"/>
      </w:tblGrid>
      <w:tr w:rsidR="00ED1DDC" w14:paraId="104CD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6A10A5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Dirección de TRANSPRENSA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0D539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https://transprensa.ascentio.app</w:t>
            </w:r>
          </w:p>
        </w:tc>
      </w:tr>
      <w:tr w:rsidR="00ED1DDC" w14:paraId="3E3F5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134AB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Servidor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DE8273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Servidor virtual dedicado en Miami, Estados Unidos. Recursos de uso exclusivo, no compartidos con otros inquilinos de cómputo.</w:t>
            </w:r>
          </w:p>
        </w:tc>
      </w:tr>
      <w:tr w:rsidR="00ED1DDC" w14:paraId="30FF5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4E2185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Por qué Miami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68A7F0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Cerca de cuarenta milisegundos de latencia hasta Colombia, frente a unos doscientos desde Europa. En vídeo, esa diferencia es la que hay entre «arranca» y «carga».</w:t>
            </w:r>
          </w:p>
        </w:tc>
      </w:tr>
      <w:tr w:rsidR="00ED1DDC" w14:paraId="00284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88FEC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Sistema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6264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Linux, con cada componente en su propio contenedor: aplicación web, servidor de la aplicación, base de datos PostgreSQL, memoria intermedia y servidor de entrada.</w:t>
            </w:r>
          </w:p>
        </w:tc>
      </w:tr>
      <w:tr w:rsidR="00ED1DDC" w14:paraId="56C4B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89ED9A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Cifrado en tránsito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CECC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TLS con certificado renovado automáticamente. No hay tráfico sin cifrar; el acceso por HTTP se redirige a HTTPS.</w:t>
            </w:r>
          </w:p>
        </w:tc>
      </w:tr>
      <w:tr w:rsidR="00ED1DDC" w14:paraId="65305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1EA4E0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Vídeo y archivos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A7FA0B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Almacenamiento de objetos independiente del servidor. Se sirve por enlaces firmados con caducidad, atados a la sesión de quien los abre.</w:t>
            </w:r>
          </w:p>
        </w:tc>
      </w:tr>
      <w:tr w:rsidR="00ED1DDC" w14:paraId="3830B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5FF9B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Correo saliente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9B91A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Servicio especializado de envío, con dominio autenticado para que los avisos no acaben en la carpeta de no deseados.</w:t>
            </w:r>
          </w:p>
        </w:tc>
      </w:tr>
    </w:tbl>
    <w:p w14:paraId="41219661" w14:textId="77777777" w:rsidR="00ED1DDC" w:rsidRDefault="00ED1DDC">
      <w:pPr>
        <w:spacing w:after="100" w:line="276" w:lineRule="auto"/>
      </w:pPr>
    </w:p>
    <w:p w14:paraId="4092D9F6" w14:textId="77777777" w:rsidR="00ED1DDC" w:rsidRDefault="00000000">
      <w:pPr>
        <w:keepNext/>
        <w:spacing w:before="240" w:after="60" w:line="276" w:lineRule="auto"/>
      </w:pPr>
      <w:r>
        <w:rPr>
          <w:rFonts w:ascii="Georgia" w:hAnsi="Georgia"/>
          <w:b/>
          <w:color w:val="0B0715"/>
          <w:sz w:val="23"/>
          <w:szCs w:val="23"/>
        </w:rPr>
        <w:lastRenderedPageBreak/>
        <w:t>Por qué el vídeo no sale del servidor</w:t>
      </w:r>
    </w:p>
    <w:p w14:paraId="5CC07A39" w14:textId="77777777" w:rsidR="00ED1DDC" w:rsidRDefault="00000000">
      <w:pPr>
        <w:spacing w:after="150" w:line="276" w:lineRule="auto"/>
      </w:pPr>
      <w:r>
        <w:t xml:space="preserve"> Si el vídeo se sirviera desde la misma máquina, su ancho de banda sería el techo de cuánta gente puede ver una formación a la vez: cinco personas viendo un vídeo de calidad media ya consumen cuarenta megabits sostenidos. Al separarlo, ese techo desaparece y el servidor se queda con lo que sabe hacer. </w:t>
      </w:r>
    </w:p>
    <w:p w14:paraId="5F1DBDF6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3. Cómo están protegidos los datos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0"/>
        <w:gridCol w:w="6450"/>
      </w:tblGrid>
      <w:tr w:rsidR="00ED1DDC" w14:paraId="34463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shd w:val="clear" w:color="auto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D7DBB" w14:textId="77777777" w:rsidR="00ED1DDC" w:rsidRDefault="00000000">
            <w:pPr>
              <w:spacing w:after="0" w:line="276" w:lineRule="auto"/>
            </w:pPr>
            <w:r>
              <w:rPr>
                <w:b/>
                <w:caps/>
                <w:color w:val="5B5866"/>
                <w:spacing w:val="20"/>
                <w:sz w:val="17"/>
                <w:szCs w:val="17"/>
              </w:rPr>
              <w:t>Frente a qué</w:t>
            </w:r>
          </w:p>
        </w:tc>
        <w:tc>
          <w:tcPr>
            <w:tcW w:w="2500" w:type="pct"/>
            <w:shd w:val="clear" w:color="auto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9D2FFA" w14:textId="77777777" w:rsidR="00ED1DDC" w:rsidRDefault="00000000">
            <w:pPr>
              <w:spacing w:after="0" w:line="276" w:lineRule="auto"/>
            </w:pPr>
            <w:r>
              <w:rPr>
                <w:b/>
                <w:caps/>
                <w:color w:val="5B5866"/>
                <w:spacing w:val="20"/>
                <w:sz w:val="17"/>
                <w:szCs w:val="17"/>
              </w:rPr>
              <w:t>Qué hay puesto</w:t>
            </w:r>
          </w:p>
        </w:tc>
      </w:tr>
      <w:tr w:rsidR="00ED1DDC" w14:paraId="19CDE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BBF487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otra empresa vea sus datos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0A45A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Doble barrera independiente. La primera, en la capa de acceso a datos, obliga a filtrar por empresa en </w:t>
            </w:r>
            <w:r>
              <w:rPr>
                <w:i/>
                <w:sz w:val="20"/>
                <w:szCs w:val="20"/>
              </w:rPr>
              <w:t>toda</w:t>
            </w:r>
            <w:r>
              <w:rPr>
                <w:sz w:val="20"/>
                <w:szCs w:val="20"/>
              </w:rPr>
              <w:t xml:space="preserve"> consulta. La segunda, dentro de la propia base de datos, rechaza cualquier consulta que se salga de la </w:t>
            </w:r>
            <w:proofErr w:type="gramStart"/>
            <w:r>
              <w:rPr>
                <w:sz w:val="20"/>
                <w:szCs w:val="20"/>
              </w:rPr>
              <w:t>empresa</w:t>
            </w:r>
            <w:proofErr w:type="gramEnd"/>
            <w:r>
              <w:rPr>
                <w:sz w:val="20"/>
                <w:szCs w:val="20"/>
              </w:rPr>
              <w:t xml:space="preserve"> aunque la primera fallara. Hay pruebas automáticas que lo verifican en cada cambio.</w:t>
            </w:r>
          </w:p>
        </w:tc>
      </w:tr>
      <w:tr w:rsidR="00ED1DDC" w14:paraId="0F07A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C53A48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alguien entre sin permiso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599075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Sesión firmada con criptografía asimétrica, válida quince minutos y renovada con un testigo que rota en cada uso y se guarda cifrado. Límite de intentos por cuenta y por origen combinados, para que una red corporativa entera no bloquee a nadie por culpa de un tercero.</w:t>
            </w:r>
          </w:p>
        </w:tc>
      </w:tr>
      <w:tr w:rsidR="00ED1DDC" w14:paraId="58660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579DE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alguien vea lo que no le toca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10BF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Permisos por módulo y por acción. El analista solo alcanza su área o proceso, y sus cambios sobre contenido ya publicado requieren aprobación del administrador con justificación registrada.</w:t>
            </w:r>
          </w:p>
        </w:tc>
      </w:tr>
      <w:tr w:rsidR="00ED1DDC" w14:paraId="49486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1C5F3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se filtre un vídeo o un documento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53F0C3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Ningún archivo tiene dirección pública permanente. Cada apertura genera un enlace firmado que caduca. Un enlace reenviado no abre nada.</w:t>
            </w:r>
          </w:p>
        </w:tc>
      </w:tr>
      <w:tr w:rsidR="00ED1DDC" w14:paraId="321AC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DEA914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se copie un examen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97003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Las respuestas correctas nunca viajan al navegador. La corrección ocurre en el servidor.</w:t>
            </w:r>
          </w:p>
        </w:tc>
      </w:tr>
      <w:tr w:rsidR="00ED1DDC" w14:paraId="5B797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479A20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suban un archivo dañino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09B0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Se comprueba el contenido real del archivo, no su extensión, y se aplican límites de tamaño por tipo.</w:t>
            </w:r>
          </w:p>
        </w:tc>
      </w:tr>
      <w:tr w:rsidR="00ED1DDC" w14:paraId="3C393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B2F0F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alguien altere un registro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9932A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Las versiones publicadas son inmutables y la auditoría no admite modificación. Editar crea una versión nueva; lo que una persona cursó sigue apuntando a lo que vio.</w:t>
            </w:r>
          </w:p>
        </w:tc>
      </w:tr>
      <w:tr w:rsidR="00ED1DDC" w14:paraId="6BDAB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21DAE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Que se falsifique una constancia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198A4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Página pública de verificación por código, sin sesión, con respuestas homogéneas y límite de consultas para impedir que alguien pruebe códigos al azar.</w:t>
            </w:r>
          </w:p>
        </w:tc>
      </w:tr>
    </w:tbl>
    <w:p w14:paraId="41F3646E" w14:textId="77777777" w:rsidR="00ED1DDC" w:rsidRDefault="00ED1DDC">
      <w:pPr>
        <w:spacing w:after="100" w:line="276" w:lineRule="auto"/>
      </w:pPr>
    </w:p>
    <w:p w14:paraId="3160B27E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4. Copias de seguridad y recuperación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5160"/>
      </w:tblGrid>
      <w:tr w:rsidR="00ED1DDC" w14:paraId="60440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C6024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Qué se copia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F1332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La base de datos completa —que es donde vive todo lo que se ha registrado— y, aparte, una imagen de la máquina entera.</w:t>
            </w:r>
          </w:p>
        </w:tc>
      </w:tr>
      <w:tr w:rsidR="00ED1DDC" w14:paraId="6122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9200DE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lastRenderedPageBreak/>
              <w:t>Cada cuánto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3804F0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Copia de la base de datos </w:t>
            </w:r>
            <w:r>
              <w:rPr>
                <w:b/>
                <w:color w:val="0B0715"/>
                <w:sz w:val="20"/>
                <w:szCs w:val="20"/>
              </w:rPr>
              <w:t>diaria y automática</w:t>
            </w:r>
            <w:r>
              <w:rPr>
                <w:sz w:val="20"/>
                <w:szCs w:val="20"/>
              </w:rPr>
              <w:t>. Imagen de la máquina, automática según el proveedor de infraestructura.</w:t>
            </w:r>
          </w:p>
        </w:tc>
      </w:tr>
      <w:tr w:rsidR="00ED1DDC" w14:paraId="394A9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DEB94D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Dónde queda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77A6E5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Comprimida y guardada </w:t>
            </w:r>
            <w:r>
              <w:rPr>
                <w:b/>
                <w:color w:val="0B0715"/>
                <w:sz w:val="20"/>
                <w:szCs w:val="20"/>
              </w:rPr>
              <w:t>fuera del servidor</w:t>
            </w:r>
            <w:r>
              <w:rPr>
                <w:sz w:val="20"/>
                <w:szCs w:val="20"/>
              </w:rPr>
              <w:t>, en el almacenamiento de objetos. Una copia que vive en la misma máquina no es una copia.</w:t>
            </w:r>
          </w:p>
        </w:tc>
      </w:tr>
      <w:tr w:rsidR="00ED1DDC" w14:paraId="6224A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75BB93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Registro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9E78C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Cada ejecución deja constancia con fecha, tamaño y resultado.</w:t>
            </w:r>
          </w:p>
        </w:tc>
      </w:tr>
      <w:tr w:rsidR="00ED1DDC" w14:paraId="1D7E8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9374B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Prueba de restauración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AFFA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Ejecutada. El procedimiento restaura la copia en una base desechable, cuenta los registros y la elimina; producción no se toca en ningún momento.</w:t>
            </w:r>
          </w:p>
        </w:tc>
      </w:tr>
      <w:tr w:rsidR="00ED1DDC" w14:paraId="6B55F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203D0C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Pérdida máxima de datos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2B42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Hasta 24 horas —lo transcurrido desde la última copia—, salvo que se pacte una frecuencia mayor.</w:t>
            </w:r>
          </w:p>
        </w:tc>
      </w:tr>
    </w:tbl>
    <w:p w14:paraId="6D24E224" w14:textId="77777777" w:rsidR="00ED1DDC" w:rsidRDefault="00ED1DDC">
      <w:pPr>
        <w:spacing w:after="100" w:line="276" w:lineRule="auto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ED1DDC" w14:paraId="361DE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F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B047C36" w14:textId="2E6D3810" w:rsidR="00ED1DDC" w:rsidRDefault="00ED1DDC">
            <w:pPr>
              <w:spacing w:after="0" w:line="276" w:lineRule="auto"/>
            </w:pPr>
          </w:p>
        </w:tc>
      </w:tr>
    </w:tbl>
    <w:p w14:paraId="33CB6EA1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5. Retención y salida de la información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5160"/>
      </w:tblGrid>
      <w:tr w:rsidR="00ED1DDC" w14:paraId="0DCFA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FF37A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Registros de formación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C52C1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Se conservan </w:t>
            </w:r>
            <w:r>
              <w:rPr>
                <w:b/>
                <w:color w:val="0B0715"/>
                <w:sz w:val="20"/>
                <w:szCs w:val="20"/>
              </w:rPr>
              <w:t>veinte años tras el retiro</w:t>
            </w:r>
            <w:r>
              <w:rPr>
                <w:sz w:val="20"/>
                <w:szCs w:val="20"/>
              </w:rPr>
              <w:t xml:space="preserve"> del trabajador, como exige el Decreto 1072 de 2015 para seguridad y salud en el trabajo.</w:t>
            </w:r>
          </w:p>
        </w:tc>
      </w:tr>
      <w:tr w:rsidR="00ED1DDC" w14:paraId="7E8A1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FB5C1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Borrado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3CA4C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 hay borrado físico de historia. Cuando una persona se retira y procede suprimir sus datos personales, se anonimiza lo identificable y </w:t>
            </w:r>
            <w:r>
              <w:rPr>
                <w:b/>
                <w:color w:val="0B0715"/>
                <w:sz w:val="20"/>
                <w:szCs w:val="20"/>
              </w:rPr>
              <w:t>el registro formativo se conserva íntegro</w:t>
            </w:r>
            <w:r>
              <w:rPr>
                <w:sz w:val="20"/>
                <w:szCs w:val="20"/>
              </w:rPr>
              <w:t>: sin él no se puede demostrar la capacitación exigida.</w:t>
            </w:r>
          </w:p>
        </w:tc>
      </w:tr>
      <w:tr w:rsidR="00ED1DDC" w14:paraId="36E5C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426CF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Dato biométrico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198F5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La firma digitalizada es un dato sensible. Se recoge con autorización expresa y se guarda con acceso restringido.</w:t>
            </w:r>
          </w:p>
        </w:tc>
      </w:tr>
      <w:tr w:rsidR="00ED1DDC" w14:paraId="4D002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F4F108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Exportación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F7674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TRANSPRENSA puede solicitar en cualquier momento la salida completa de su información en formato de uso corriente. </w:t>
            </w:r>
            <w:r>
              <w:rPr>
                <w:b/>
                <w:color w:val="0B0715"/>
                <w:sz w:val="20"/>
                <w:szCs w:val="20"/>
              </w:rPr>
              <w:t>Los datos son suyos, no del proveedor.</w:t>
            </w:r>
          </w:p>
        </w:tc>
      </w:tr>
      <w:tr w:rsidR="00ED1DDC" w14:paraId="25206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A7457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Al terminar el servicio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DE4D4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Se entrega la exportación completa y, transcurrido el plazo que se pacte, se suprime la información salvo lo que deba conservarse por mandato legal.</w:t>
            </w:r>
          </w:p>
        </w:tc>
      </w:tr>
    </w:tbl>
    <w:p w14:paraId="682275E5" w14:textId="77777777" w:rsidR="00ED1DDC" w:rsidRDefault="00ED1DDC">
      <w:pPr>
        <w:spacing w:after="100" w:line="276" w:lineRule="auto"/>
      </w:pPr>
    </w:p>
    <w:p w14:paraId="0D11B327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6. Qué hace falta del lado de TRANSPRENSA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5160"/>
      </w:tblGrid>
      <w:tr w:rsidR="00ED1DDC" w14:paraId="49D59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12944A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Navegador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FD2C5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Chrome, Edge, Firefox o Safari en versión reciente. No hay que instalar programas ni extensiones.</w:t>
            </w:r>
          </w:p>
        </w:tc>
      </w:tr>
      <w:tr w:rsidR="00ED1DDC" w14:paraId="3B2EA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8E549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lastRenderedPageBreak/>
              <w:t>Teléfonos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0EC8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Android 8 o superior, iOS 14 o superior. La plataforma se instala desde el navegador («Añadir a pantalla de inicio») y funciona con señal intermitente: guarda el avance y lo envía al reconectar.</w:t>
            </w:r>
          </w:p>
        </w:tc>
      </w:tr>
      <w:tr w:rsidR="00ED1DDC" w14:paraId="0ECCF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4AEDC3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Red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FFC3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Salida a internet por HTTPS. Si la empresa filtra tráfico, hay que permitir el dominio de la plataforma y el del almacenamiento de vídeo.</w:t>
            </w:r>
          </w:p>
        </w:tc>
      </w:tr>
      <w:tr w:rsidR="00ED1DDC" w14:paraId="30A67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FC79B3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Ancho de banda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D5B5A5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Para vídeo, unos 3 a 5 megabits por persona simultánea. La navegación normal consume muy poco.</w:t>
            </w:r>
          </w:p>
        </w:tc>
      </w:tr>
      <w:tr w:rsidR="00ED1DDC" w14:paraId="5E7BE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0BD4F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Correo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B8A77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Para que los avisos lleguen, conviene que el correo de la empresa no rechace el dominio de envío. Se entrega la información necesaria para incluirlo en la lista de confianza.</w:t>
            </w:r>
          </w:p>
        </w:tc>
      </w:tr>
    </w:tbl>
    <w:p w14:paraId="515AD6D4" w14:textId="77777777" w:rsidR="00ED1DDC" w:rsidRDefault="00ED1DDC">
      <w:pPr>
        <w:spacing w:after="100" w:line="276" w:lineRule="auto"/>
      </w:pPr>
    </w:p>
    <w:p w14:paraId="24F05FB4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7. Cómo se opera y cómo se actualiza</w:t>
      </w:r>
    </w:p>
    <w:p w14:paraId="34944A51" w14:textId="77777777" w:rsidR="00ED1DDC" w:rsidRDefault="00000000">
      <w:pPr>
        <w:keepNext/>
        <w:spacing w:before="240" w:after="60" w:line="276" w:lineRule="auto"/>
      </w:pPr>
      <w:r>
        <w:rPr>
          <w:rFonts w:ascii="Georgia" w:hAnsi="Georgia"/>
          <w:b/>
          <w:color w:val="0B0715"/>
          <w:sz w:val="23"/>
          <w:szCs w:val="23"/>
        </w:rPr>
        <w:t>Reglas de despliegue</w:t>
      </w:r>
    </w:p>
    <w:p w14:paraId="37F3DBAB" w14:textId="77777777" w:rsidR="00ED1DDC" w:rsidRDefault="00000000">
      <w:pPr>
        <w:spacing w:after="150" w:line="276" w:lineRule="auto"/>
      </w:pPr>
      <w:r>
        <w:t xml:space="preserve"> Existe un procedimiento escrito y de obligado cumplimiento para tocar producción. Sus puntos centrales: </w:t>
      </w:r>
    </w:p>
    <w:p w14:paraId="213F0B96" w14:textId="77777777" w:rsidR="00ED1DDC" w:rsidRDefault="00000000">
      <w:pPr>
        <w:spacing w:after="90" w:line="276" w:lineRule="auto"/>
        <w:ind w:left="360" w:hanging="200"/>
      </w:pPr>
      <w:r>
        <w:rPr>
          <w:color w:val="E8734A"/>
          <w:sz w:val="20"/>
          <w:szCs w:val="20"/>
        </w:rPr>
        <w:t>•  </w:t>
      </w:r>
      <w:r>
        <w:rPr>
          <w:b/>
          <w:color w:val="0B0715"/>
          <w:sz w:val="20"/>
          <w:szCs w:val="20"/>
        </w:rPr>
        <w:t>Copia de seguridad antes de cada actualización</w:t>
      </w:r>
      <w:r>
        <w:rPr>
          <w:sz w:val="20"/>
          <w:szCs w:val="20"/>
        </w:rPr>
        <w:t>, siempre, sin excepción.</w:t>
      </w:r>
    </w:p>
    <w:p w14:paraId="0AAC3284" w14:textId="77777777" w:rsidR="00ED1DDC" w:rsidRDefault="00000000">
      <w:pPr>
        <w:spacing w:after="90" w:line="276" w:lineRule="auto"/>
        <w:ind w:left="360" w:hanging="200"/>
      </w:pPr>
      <w:r>
        <w:rPr>
          <w:color w:val="E8734A"/>
          <w:sz w:val="20"/>
          <w:szCs w:val="20"/>
        </w:rPr>
        <w:t>•  </w:t>
      </w:r>
      <w:r>
        <w:rPr>
          <w:b/>
          <w:color w:val="0B0715"/>
          <w:sz w:val="20"/>
          <w:szCs w:val="20"/>
        </w:rPr>
        <w:t>Nada se despliega sin verse antes en el entorno de pruebas.</w:t>
      </w:r>
      <w:r>
        <w:rPr>
          <w:sz w:val="20"/>
          <w:szCs w:val="20"/>
        </w:rPr>
        <w:t xml:space="preserve"> Regla exigida por el propio cliente y aplicable a todo cambio, por pequeño que parezca.</w:t>
      </w:r>
    </w:p>
    <w:p w14:paraId="0B1AAE33" w14:textId="77777777" w:rsidR="00ED1DDC" w:rsidRDefault="00000000">
      <w:pPr>
        <w:spacing w:after="90" w:line="276" w:lineRule="auto"/>
        <w:ind w:left="360" w:hanging="200"/>
      </w:pPr>
      <w:r>
        <w:rPr>
          <w:color w:val="E8734A"/>
          <w:sz w:val="20"/>
          <w:szCs w:val="20"/>
        </w:rPr>
        <w:t>•  </w:t>
      </w:r>
      <w:r>
        <w:rPr>
          <w:sz w:val="20"/>
          <w:szCs w:val="20"/>
        </w:rPr>
        <w:t xml:space="preserve">Lista de </w:t>
      </w:r>
      <w:r>
        <w:rPr>
          <w:b/>
          <w:color w:val="0B0715"/>
          <w:sz w:val="20"/>
          <w:szCs w:val="20"/>
        </w:rPr>
        <w:t>órdenes prohibidas</w:t>
      </w:r>
      <w:r>
        <w:rPr>
          <w:sz w:val="20"/>
          <w:szCs w:val="20"/>
        </w:rPr>
        <w:t xml:space="preserve"> en producción, encabezada por las que destruyen volúmenes de datos.</w:t>
      </w:r>
    </w:p>
    <w:p w14:paraId="19998F81" w14:textId="77777777" w:rsidR="00ED1DDC" w:rsidRDefault="00000000">
      <w:pPr>
        <w:spacing w:after="90" w:line="276" w:lineRule="auto"/>
        <w:ind w:left="360" w:hanging="200"/>
      </w:pPr>
      <w:r>
        <w:rPr>
          <w:color w:val="E8734A"/>
          <w:sz w:val="20"/>
          <w:szCs w:val="20"/>
        </w:rPr>
        <w:t>•  </w:t>
      </w:r>
      <w:r>
        <w:rPr>
          <w:sz w:val="20"/>
          <w:szCs w:val="20"/>
        </w:rPr>
        <w:t xml:space="preserve">Toda migración de la base de datos </w:t>
      </w:r>
      <w:r>
        <w:rPr>
          <w:b/>
          <w:color w:val="0B0715"/>
          <w:sz w:val="20"/>
          <w:szCs w:val="20"/>
        </w:rPr>
        <w:t>se prueba desde una base vacía</w:t>
      </w:r>
      <w:r>
        <w:rPr>
          <w:sz w:val="20"/>
          <w:szCs w:val="20"/>
        </w:rPr>
        <w:t xml:space="preserve"> antes de subirla. Una cadena de cambios que solo funciona sobre una base con historia no es fiable.</w:t>
      </w:r>
    </w:p>
    <w:p w14:paraId="33230B73" w14:textId="77777777" w:rsidR="00ED1DDC" w:rsidRDefault="00000000">
      <w:pPr>
        <w:keepNext/>
        <w:spacing w:before="240" w:after="60" w:line="276" w:lineRule="auto"/>
      </w:pPr>
      <w:r>
        <w:rPr>
          <w:rFonts w:ascii="Georgia" w:hAnsi="Georgia"/>
          <w:b/>
          <w:color w:val="0B0715"/>
          <w:sz w:val="23"/>
          <w:szCs w:val="23"/>
        </w:rPr>
        <w:t>Ventanas y avisos</w:t>
      </w:r>
    </w:p>
    <w:p w14:paraId="627B0E78" w14:textId="77777777" w:rsidR="00ED1DDC" w:rsidRDefault="00000000">
      <w:pPr>
        <w:spacing w:after="150" w:line="276" w:lineRule="auto"/>
      </w:pPr>
      <w:r>
        <w:t xml:space="preserve"> Las actualizaciones se programan fuera del horario laboral y se avisan con antelación. Una actualización corriente supone menos de un minuto sin servicio. </w:t>
      </w:r>
    </w:p>
    <w:p w14:paraId="25E70DAD" w14:textId="77777777" w:rsidR="00ED1DDC" w:rsidRDefault="00000000">
      <w:pPr>
        <w:keepNext/>
        <w:spacing w:before="240" w:after="60" w:line="276" w:lineRule="auto"/>
      </w:pPr>
      <w:r>
        <w:rPr>
          <w:rFonts w:ascii="Georgia" w:hAnsi="Georgia"/>
          <w:b/>
          <w:color w:val="0B0715"/>
          <w:sz w:val="23"/>
          <w:szCs w:val="23"/>
        </w:rPr>
        <w:t>Vigilancia</w:t>
      </w:r>
    </w:p>
    <w:p w14:paraId="2C0477E5" w14:textId="77777777" w:rsidR="00ED1DDC" w:rsidRDefault="00000000">
      <w:pPr>
        <w:spacing w:after="150" w:line="276" w:lineRule="auto"/>
      </w:pPr>
      <w:r>
        <w:t xml:space="preserve"> Existe una dirección pública de salud del servicio, consultable en cualquier momento, que responde si la aplicación y su base de datos están operativas.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80"/>
      </w:tblGrid>
      <w:tr w:rsidR="00ED1DDC" w14:paraId="1F56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  <w:shd w:val="clear" w:color="auto" w:fill="FFF6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09D7E6" w14:textId="77777777" w:rsidR="00ED1DDC" w:rsidRDefault="00ED1DDC">
            <w:pPr>
              <w:spacing w:after="0" w:line="276" w:lineRule="auto"/>
            </w:pPr>
          </w:p>
          <w:p w14:paraId="39341481" w14:textId="77777777" w:rsidR="00315803" w:rsidRDefault="00315803">
            <w:pPr>
              <w:spacing w:after="0" w:line="276" w:lineRule="auto"/>
            </w:pPr>
          </w:p>
          <w:p w14:paraId="05235744" w14:textId="77777777" w:rsidR="00315803" w:rsidRDefault="00315803">
            <w:pPr>
              <w:spacing w:after="0" w:line="276" w:lineRule="auto"/>
            </w:pPr>
          </w:p>
          <w:p w14:paraId="4278620F" w14:textId="663C002F" w:rsidR="00315803" w:rsidRDefault="00315803">
            <w:pPr>
              <w:spacing w:after="0" w:line="276" w:lineRule="auto"/>
            </w:pPr>
          </w:p>
        </w:tc>
      </w:tr>
    </w:tbl>
    <w:p w14:paraId="5D14A4F3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lastRenderedPageBreak/>
        <w:t>8. Cumplimiento normativo cubierto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3684"/>
        <w:gridCol w:w="3761"/>
      </w:tblGrid>
      <w:tr w:rsidR="00ED1DDC" w14:paraId="635D7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shd w:val="clear" w:color="auto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8DF02" w14:textId="77777777" w:rsidR="00ED1DDC" w:rsidRDefault="00000000">
            <w:pPr>
              <w:spacing w:after="0" w:line="276" w:lineRule="auto"/>
            </w:pPr>
            <w:r>
              <w:rPr>
                <w:b/>
                <w:caps/>
                <w:color w:val="5B5866"/>
                <w:spacing w:val="20"/>
                <w:sz w:val="17"/>
                <w:szCs w:val="17"/>
              </w:rPr>
              <w:t>Norma</w:t>
            </w:r>
          </w:p>
        </w:tc>
        <w:tc>
          <w:tcPr>
            <w:tcW w:w="1666" w:type="pct"/>
            <w:shd w:val="clear" w:color="auto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603CAB" w14:textId="77777777" w:rsidR="00ED1DDC" w:rsidRDefault="00000000">
            <w:pPr>
              <w:spacing w:after="0" w:line="276" w:lineRule="auto"/>
            </w:pPr>
            <w:r>
              <w:rPr>
                <w:b/>
                <w:caps/>
                <w:color w:val="5B5866"/>
                <w:spacing w:val="20"/>
                <w:sz w:val="17"/>
                <w:szCs w:val="17"/>
              </w:rPr>
              <w:t>Qué exige</w:t>
            </w:r>
          </w:p>
        </w:tc>
        <w:tc>
          <w:tcPr>
            <w:tcW w:w="1700" w:type="pct"/>
            <w:shd w:val="clear" w:color="auto" w:fill="F3F1E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47085" w14:textId="77777777" w:rsidR="00ED1DDC" w:rsidRDefault="00000000">
            <w:pPr>
              <w:spacing w:after="0" w:line="276" w:lineRule="auto"/>
            </w:pPr>
            <w:r>
              <w:rPr>
                <w:b/>
                <w:caps/>
                <w:color w:val="5B5866"/>
                <w:spacing w:val="20"/>
                <w:sz w:val="17"/>
                <w:szCs w:val="17"/>
              </w:rPr>
              <w:t>Respuesta de la plataforma</w:t>
            </w:r>
          </w:p>
        </w:tc>
      </w:tr>
      <w:tr w:rsidR="00ED1DDC" w14:paraId="2F6AA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DEACB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Decreto 1072/2015</w:t>
            </w:r>
            <w:r>
              <w:br/>
            </w:r>
            <w:r>
              <w:rPr>
                <w:sz w:val="20"/>
                <w:szCs w:val="20"/>
              </w:rPr>
              <w:t>art. 2.2.4.6.11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45267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Inducción previa al inicio de labores, a toda persona vinculada.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19053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Obligación generada desde la fecha de ingreso, con alerta si no está cumplida antes del primer día.</w:t>
            </w:r>
          </w:p>
        </w:tc>
      </w:tr>
      <w:tr w:rsidR="00ED1DDC" w14:paraId="032771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457FC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Decreto 1072/2015</w:t>
            </w:r>
            <w:r>
              <w:br/>
            </w:r>
            <w:r>
              <w:rPr>
                <w:sz w:val="20"/>
                <w:szCs w:val="20"/>
              </w:rPr>
              <w:t>art. 2.2.4.6.13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020F0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Registros retenidos veinte años tras el retiro; se admite el medio electrónico.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C481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Retención por tipo de registro con base legal y sin borrado físico.</w:t>
            </w:r>
          </w:p>
        </w:tc>
      </w:tr>
      <w:tr w:rsidR="00ED1DDC" w14:paraId="1B877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46A98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Resolución 0312/2019</w:t>
            </w:r>
            <w:r>
              <w:br/>
            </w:r>
            <w:r>
              <w:rPr>
                <w:sz w:val="20"/>
                <w:szCs w:val="20"/>
              </w:rPr>
              <w:t>ítems 1.2.1–1.2.2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2A63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Programa anual con soportes y listas de participantes.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06F3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Plan anual con indicadores y actas de asistencia exportables.</w:t>
            </w:r>
          </w:p>
        </w:tc>
      </w:tr>
      <w:tr w:rsidR="00ED1DDC" w14:paraId="5C41C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2ACF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PESV</w:t>
            </w:r>
            <w:r>
              <w:br/>
            </w:r>
            <w:r>
              <w:rPr>
                <w:sz w:val="20"/>
                <w:szCs w:val="20"/>
              </w:rPr>
              <w:t>Res. 40595/2022, paso 10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3330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Formación por actor vial, intensidad teórica y práctica, competencia documentada.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BA404E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Actor vial por persona, horas desglosadas y matriz de cargo contra formación real.</w:t>
            </w:r>
          </w:p>
        </w:tc>
      </w:tr>
      <w:tr w:rsidR="00ED1DDC" w14:paraId="646FE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12B0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SARLAFT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2CD94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Capacitación anual con constancias de asistentes, fechas y temas.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9416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Actividad recurrente anual y constancia verificable con esos datos.</w:t>
            </w:r>
          </w:p>
        </w:tc>
      </w:tr>
      <w:tr w:rsidR="00ED1DDC" w14:paraId="598AA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E549B0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BASC V6:2022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48BED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Programa anual documentado y evaluación anual de eficacia.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E89D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Plan etiquetado y flujo de eficacia respondido por el jefe del área.</w:t>
            </w:r>
          </w:p>
        </w:tc>
      </w:tr>
      <w:tr w:rsidR="00ED1DDC" w14:paraId="4F07F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89D90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ISO 9001 · 45001 · 14001</w:t>
            </w:r>
            <w:r>
              <w:br/>
            </w:r>
            <w:r>
              <w:rPr>
                <w:sz w:val="20"/>
                <w:szCs w:val="20"/>
              </w:rPr>
              <w:t>cl. 7.2–7.3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1616C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Competencia, eficacia e información documentada.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34A5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Matriz de competencia, eficacia diferida e historial por persona.</w:t>
            </w:r>
          </w:p>
        </w:tc>
      </w:tr>
      <w:tr w:rsidR="00ED1DDC" w14:paraId="7C4B8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BD2C8E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Resolución 2674/2013</w:t>
            </w:r>
            <w:r>
              <w:br/>
            </w:r>
            <w:r>
              <w:rPr>
                <w:sz w:val="20"/>
                <w:szCs w:val="20"/>
              </w:rPr>
              <w:t>art. 12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634D8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Diez horas anuales por manipulador de alimentos e idoneidad del capacitador.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A21D52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Acumulador de horas por persona, norma y año, con vigencia anual y perfil del capacitador adjuntable.</w:t>
            </w:r>
          </w:p>
        </w:tc>
      </w:tr>
      <w:tr w:rsidR="00ED1DDC" w14:paraId="6DC3E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9882CB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Ley 1581/2012</w:t>
            </w:r>
            <w:r>
              <w:br/>
            </w:r>
            <w:r>
              <w:rPr>
                <w:sz w:val="20"/>
                <w:szCs w:val="20"/>
              </w:rPr>
              <w:t>Decreto 1377/2013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E9ADB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Autorización, política, derechos del titular y datos sensibles.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7C02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Consentimiento versionado en el alta y tratamiento diferenciado del dato biométrico.</w:t>
            </w:r>
          </w:p>
        </w:tc>
      </w:tr>
      <w:tr w:rsidR="00ED1DDC" w14:paraId="76406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03D2D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Ley 527/1999</w:t>
            </w:r>
            <w:r>
              <w:br/>
            </w:r>
            <w:r>
              <w:rPr>
                <w:sz w:val="20"/>
                <w:szCs w:val="20"/>
              </w:rPr>
              <w:t>Decreto 2364/2012</w:t>
            </w:r>
          </w:p>
        </w:tc>
        <w:tc>
          <w:tcPr>
            <w:tcW w:w="1666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7A684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Validez de la firma electrónica.</w:t>
            </w:r>
          </w:p>
        </w:tc>
        <w:tc>
          <w:tcPr>
            <w:tcW w:w="17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BCE26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Acuerdo de firma aceptado, sello de tiempo, huella criptográfica y registro inmutable.</w:t>
            </w:r>
          </w:p>
        </w:tc>
      </w:tr>
    </w:tbl>
    <w:p w14:paraId="2041F95B" w14:textId="77777777" w:rsidR="00ED1DDC" w:rsidRDefault="00ED1DDC">
      <w:pPr>
        <w:spacing w:after="100" w:line="276" w:lineRule="auto"/>
      </w:pPr>
    </w:p>
    <w:p w14:paraId="1E07D786" w14:textId="77777777" w:rsidR="00ED1DDC" w:rsidRDefault="00000000">
      <w:pPr>
        <w:keepNext/>
        <w:pBdr>
          <w:bottom w:val="single" w:sz="6" w:space="4" w:color="CFC8BE"/>
        </w:pBdr>
        <w:spacing w:before="380" w:after="120" w:line="276" w:lineRule="auto"/>
      </w:pPr>
      <w:r>
        <w:rPr>
          <w:rFonts w:ascii="Georgia" w:hAnsi="Georgia"/>
          <w:b/>
          <w:color w:val="0B0715"/>
          <w:sz w:val="30"/>
          <w:szCs w:val="30"/>
        </w:rPr>
        <w:t>9. Anexo para el área de sistemas</w:t>
      </w:r>
    </w:p>
    <w:tbl>
      <w:tblPr>
        <w:tblW w:w="5000" w:type="pct"/>
        <w:tblInd w:w="-5" w:type="dxa"/>
        <w:tblBorders>
          <w:top w:val="single" w:sz="4" w:space="0" w:color="D8D2CA"/>
          <w:left w:val="single" w:sz="4" w:space="0" w:color="D8D2CA"/>
          <w:bottom w:val="single" w:sz="4" w:space="0" w:color="D8D2CA"/>
          <w:right w:val="single" w:sz="4" w:space="0" w:color="D8D2CA"/>
          <w:insideH w:val="single" w:sz="4" w:space="0" w:color="D8D2CA"/>
          <w:insideV w:val="single" w:sz="4" w:space="0" w:color="D8D2C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0"/>
        <w:gridCol w:w="5160"/>
      </w:tblGrid>
      <w:tr w:rsidR="00ED1DDC" w14:paraId="40F45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E403C0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Interfaz de usuario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70AEF3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Next.js sobre React, con TypeScript en modo estricto. Aplicación web progresiva instalable, con trabajador de servicio propio y cola de reenvío para operar sin conexión.</w:t>
            </w:r>
          </w:p>
        </w:tc>
      </w:tr>
      <w:tr w:rsidR="00ED1DDC" w14:paraId="471A5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C3395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Servidor de aplicación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13CFDE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NestJS sobre Node.js. API REST versionada.</w:t>
            </w:r>
          </w:p>
        </w:tc>
      </w:tr>
      <w:tr w:rsidR="00ED1DDC" w14:paraId="4F617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B4FA15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Base de datos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AD104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PostgreSQL 15, con seguridad a nivel de fila activada por empresa.</w:t>
            </w:r>
          </w:p>
        </w:tc>
      </w:tr>
      <w:tr w:rsidR="00ED1DDC" w14:paraId="718B8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A20BF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lastRenderedPageBreak/>
              <w:t>Trabajos en segundo plano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8731BB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Redis con colas de trabajo: recurrencias y vencimientos, reevaluación de audiencias, repaso espaciado, avisos y retención documental.</w:t>
            </w:r>
          </w:p>
        </w:tc>
      </w:tr>
      <w:tr w:rsidR="00ED1DDC" w14:paraId="79795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BE6FAA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Autenticación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E7C09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JWT firmado con RS256. Sesión de quince minutos y testigo de renovación de siete días, con rotación y almacenamiento cifrado.</w:t>
            </w:r>
          </w:p>
        </w:tc>
      </w:tr>
      <w:tr w:rsidR="00ED1DDC" w14:paraId="51D6E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005E1B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Almacenamiento de objetos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7117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Compatible con S3, con enlaces prefirmados de una hora.</w:t>
            </w:r>
          </w:p>
        </w:tc>
      </w:tr>
      <w:tr w:rsidR="00ED1DDC" w14:paraId="1EA63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6483AF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Documentos PDF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C95A8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Generados en el servidor a partir de plantillas HTML.</w:t>
            </w:r>
          </w:p>
        </w:tc>
      </w:tr>
      <w:tr w:rsidR="00ED1DDC" w14:paraId="1BC97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C0876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Despliegue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AD775F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Contenedores orquestados con Docker Compose sobre servidor dedicado. Integración continua en GitHub Actions.</w:t>
            </w:r>
          </w:p>
        </w:tc>
      </w:tr>
      <w:tr w:rsidR="00ED1DDC" w14:paraId="37510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7F5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BD7C42" w14:textId="77777777" w:rsidR="00ED1DDC" w:rsidRDefault="00000000">
            <w:pPr>
              <w:spacing w:after="0" w:line="276" w:lineRule="auto"/>
            </w:pPr>
            <w:r>
              <w:rPr>
                <w:b/>
                <w:color w:val="0B0715"/>
                <w:sz w:val="20"/>
                <w:szCs w:val="20"/>
              </w:rPr>
              <w:t>Calidad</w:t>
            </w:r>
          </w:p>
        </w:tc>
        <w:tc>
          <w:tcPr>
            <w:tcW w:w="2500" w:type="pc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4B92E" w14:textId="77777777" w:rsidR="00ED1DDC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Comprobación de tipos y análisis estático en cada cambio; 502 pruebas unitarias y 23 recorridos completos automatizados sobre la aplicación compilada.</w:t>
            </w:r>
          </w:p>
        </w:tc>
      </w:tr>
    </w:tbl>
    <w:p w14:paraId="3A457B3F" w14:textId="77777777" w:rsidR="00ED1DDC" w:rsidRDefault="00ED1DDC">
      <w:pPr>
        <w:spacing w:after="100" w:line="276" w:lineRule="auto"/>
      </w:pPr>
    </w:p>
    <w:p w14:paraId="1695E7AC" w14:textId="77777777" w:rsidR="00ED1DDC" w:rsidRDefault="00000000">
      <w:pPr>
        <w:spacing w:before="480" w:after="0" w:line="276" w:lineRule="auto"/>
      </w:pPr>
      <w:r>
        <w:rPr>
          <w:color w:val="8A8794"/>
          <w:sz w:val="16"/>
          <w:szCs w:val="16"/>
        </w:rPr>
        <w:t xml:space="preserve"> Ascent — un producto de AION · Ficha técnica y de servicio · Transportadora La Prensa del Valle S.A.S. · Documento confidencial. </w:t>
      </w:r>
    </w:p>
    <w:sectPr w:rsidR="00ED1DDC">
      <w:headerReference w:type="default" r:id="rId6"/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B5D88" w14:textId="77777777" w:rsidR="00D16D6E" w:rsidRDefault="00D16D6E" w:rsidP="00315803">
      <w:pPr>
        <w:spacing w:after="0" w:line="240" w:lineRule="auto"/>
      </w:pPr>
      <w:r>
        <w:separator/>
      </w:r>
    </w:p>
  </w:endnote>
  <w:endnote w:type="continuationSeparator" w:id="0">
    <w:p w14:paraId="1062561E" w14:textId="77777777" w:rsidR="00D16D6E" w:rsidRDefault="00D16D6E" w:rsidP="00315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C59E9" w14:textId="77777777" w:rsidR="00D16D6E" w:rsidRDefault="00D16D6E" w:rsidP="00315803">
      <w:pPr>
        <w:spacing w:after="0" w:line="240" w:lineRule="auto"/>
      </w:pPr>
      <w:r>
        <w:separator/>
      </w:r>
    </w:p>
  </w:footnote>
  <w:footnote w:type="continuationSeparator" w:id="0">
    <w:p w14:paraId="0757514E" w14:textId="77777777" w:rsidR="00D16D6E" w:rsidRDefault="00D16D6E" w:rsidP="00315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0F6D1" w14:textId="546BD4D5" w:rsidR="00315803" w:rsidRPr="00315803" w:rsidRDefault="00315803" w:rsidP="00315803">
    <w:pPr>
      <w:pStyle w:val="Encabezado"/>
      <w:rPr>
        <w:sz w:val="22"/>
        <w:szCs w:val="22"/>
      </w:rPr>
    </w:pPr>
    <w:r>
      <w:rPr>
        <w:sz w:val="22"/>
        <w:szCs w:val="22"/>
      </w:rPr>
      <w:t xml:space="preserve">ASCENT - </w:t>
    </w:r>
    <w:r w:rsidRPr="00315803">
      <w:rPr>
        <w:sz w:val="22"/>
        <w:szCs w:val="22"/>
      </w:rPr>
      <w:t>Ficha técnica</w:t>
    </w:r>
    <w:r>
      <w:rPr>
        <w:sz w:val="22"/>
        <w:szCs w:val="22"/>
      </w:rPr>
      <w:t xml:space="preserve"> </w:t>
    </w:r>
    <w:r w:rsidRPr="00315803">
      <w:rPr>
        <w:sz w:val="22"/>
        <w:szCs w:val="22"/>
      </w:rPr>
      <w:t>y de servicio</w:t>
    </w:r>
    <w:r>
      <w:rPr>
        <w:sz w:val="22"/>
        <w:szCs w:val="22"/>
      </w:rPr>
      <w:t xml:space="preserve">                                                                                                                Confidencial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DDC"/>
    <w:rsid w:val="00315803"/>
    <w:rsid w:val="003B3A0F"/>
    <w:rsid w:val="00D16D6E"/>
    <w:rsid w:val="00ED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F1014"/>
  <w15:docId w15:val="{7F4AE2F8-DD1C-4135-BF0E-B60F8E01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B2A33"/>
        <w:sz w:val="21"/>
        <w:szCs w:val="21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58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5803"/>
  </w:style>
  <w:style w:type="paragraph" w:styleId="Piedepgina">
    <w:name w:val="footer"/>
    <w:basedOn w:val="Normal"/>
    <w:link w:val="PiedepginaCar"/>
    <w:uiPriority w:val="99"/>
    <w:unhideWhenUsed/>
    <w:rsid w:val="003158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1568</Words>
  <Characters>8627</Characters>
  <Application>Microsoft Office Word</Application>
  <DocSecurity>0</DocSecurity>
  <Lines>71</Lines>
  <Paragraphs>20</Paragraphs>
  <ScaleCrop>false</ScaleCrop>
  <Company/>
  <LinksUpToDate>false</LinksUpToDate>
  <CharactersWithSpaces>10175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y de servicio — Ascent · TRANSPRENSA</dc:title>
  <dc:creator>AION — Ascent</dc:creator>
  <cp:lastModifiedBy>Prueba</cp:lastModifiedBy>
  <cp:revision>2</cp:revision>
  <dcterms:created xsi:type="dcterms:W3CDTF">2026-09-10T02:03:00Z</dcterms:created>
  <dcterms:modified xsi:type="dcterms:W3CDTF">2026-09-10T03:31:00Z</dcterms:modified>
</cp:coreProperties>
</file>