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Pandoc Typst Conversion Check</w:t>
      </w:r>
    </w:p>
    <w:p>
      <w:pPr>
        <w:pStyle w:val="Author"/>
      </w:pPr>
      <w:r>
        <w:t xml:space="preserve">Northwind Procurement Office</w:t>
      </w:r>
    </w:p>
    <w:p>
      <w:pPr>
        <w:pStyle w:val="Heading1"/>
      </w:pPr>
      <w:r>
        <w:t xml:space="preserve">Clarification letter export check</w:t>
      </w:r>
    </w:p>
    <w:p>
      <w:pPr>
        <w:pStyle w:val="FirstParagraph"/>
      </w:pPr>
      <w:r>
        <w:t xml:space="preserve">This simple source confirms that Pandoc can parse core Typst structure.</w:t>
      </w:r>
    </w:p>
    <w:p>
      <w:pPr>
        <w:numPr>
          <w:ilvl w:val="0"/>
          <w:numId w:val="1001"/>
        </w:numPr>
      </w:pPr>
      <w:r>
        <w:t xml:space="preserve">Supplier identity</w:t>
      </w:r>
    </w:p>
    <w:p>
      <w:pPr>
        <w:numPr>
          <w:ilvl w:val="0"/>
          <w:numId w:val="1001"/>
        </w:numPr>
      </w:pPr>
      <w:r>
        <w:t xml:space="preserve">Clarification questions</w:t>
      </w:r>
    </w:p>
    <w:p>
      <w:pPr>
        <w:numPr>
          <w:ilvl w:val="0"/>
          <w:numId w:val="1001"/>
        </w:numPr>
      </w:pPr>
      <w:r>
        <w:t xml:space="preserve">Response deadline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 Typst Conversion Check</dc:title>
  <dc:creator>Northwind Procurement Office</dc:creator>
  <cp:keywords/>
  <dcterms:created xsi:type="dcterms:W3CDTF">2026-09-19T22:11:29Z</dcterms:created>
  <dcterms:modified xsi:type="dcterms:W3CDTF">2026-09-19T22:11:29Z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