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80" w:hanging="480" w:hangingChars="150"/>
        <w:rPr>
          <w:rFonts w:hint="eastAsia" w:ascii="Times New Roman" w:hAnsi="Times New Roman" w:eastAsia="黑体"/>
          <w:sz w:val="36"/>
          <w:szCs w:val="36"/>
          <w:lang w:eastAsia="zh-CN"/>
        </w:rPr>
      </w:pPr>
      <w:r>
        <w:rPr>
          <w:rFonts w:ascii="Times New Roman" w:hAnsi="Times New Roman" w:eastAsia="黑体"/>
          <w:bCs/>
          <w:sz w:val="32"/>
          <w:szCs w:val="32"/>
        </w:rPr>
        <w:t>附件</w:t>
      </w:r>
      <w:r>
        <w:rPr>
          <w:rFonts w:hint="eastAsia" w:ascii="Times New Roman" w:hAnsi="Times New Roman" w:eastAsia="黑体"/>
          <w:bCs/>
          <w:sz w:val="32"/>
          <w:szCs w:val="32"/>
          <w:lang w:val="en-US" w:eastAsia="zh-CN"/>
        </w:rPr>
        <w:t>1</w:t>
      </w:r>
    </w:p>
    <w:p>
      <w:pPr>
        <w:pStyle w:val="2"/>
        <w:ind w:left="0" w:leftChars="0" w:firstLine="0" w:firstLineChars="0"/>
        <w:jc w:val="center"/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沧州交通学院教师教学创新大赛实施方案（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2023年</w:t>
      </w: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试行</w:t>
      </w:r>
      <w:r>
        <w:rPr>
          <w:rFonts w:hint="eastAsia"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版</w:t>
      </w:r>
      <w:r>
        <w:rPr>
          <w:rFonts w:ascii="黑体" w:hAnsi="宋体" w:eastAsia="黑体" w:cs="黑体"/>
          <w:color w:val="000000"/>
          <w:kern w:val="0"/>
          <w:sz w:val="31"/>
          <w:szCs w:val="31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为深入贯彻党的二十大精神，学习贯彻习近平总书记关于教育的重要论述，落实立德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树人根本任务，助力学校课程思政、新工科、新文科建设，推动信息技术与教育教学融合创新发展，引导教师潜心教书育人，打造教学改革风向标，结合学校实际，特制定本方案。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both"/>
        <w:textAlignment w:val="auto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一、基本原则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（一）坚持教学创新为主的原则；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（二）坚持参赛作品原创性的原则；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（三）坚持广泛参与、择优选拔的原则。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both"/>
        <w:textAlignment w:val="auto"/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二、组办单位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教师教学创新大赛（简称“比赛”）由教务处主办，教学督导办公室（教育教学质量控制中心）、人事处、纪检监察办公室协办。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both"/>
        <w:textAlignment w:val="auto"/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三、参赛形式和资格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（一）参赛形式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教师以个人或团队形式参赛，若以团队形式参赛，团队成员包括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名主讲教师和不超过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名团队教师。以团队参赛的教师仅能参加一个团队，但非主讲教师可以以个人形式再次参赛。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（二）参赛资格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已经取得高校教师资格证书的专职教师；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主讲教师近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年对所参赛的本科课程讲授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轮及以上；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主讲教师及团队成员无违法违纪、师德师风和学术不端等问题，且近五年无教学事故。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（三）组别设置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default" w:ascii="Times New Roman" w:hAnsi="Times New Roman" w:eastAsia="仿宋" w:cs="仿宋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="仿宋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组别设置调整为理工组和非理工组两组。参赛组别由教师按照课程自行选择，鼓励不同职称级别教师参赛。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参赛教师应保证教学创新设计相关材料的原创性，不得抄袭、剽窃他人作品，如产生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侵权行为或涉及知识产权纠纷，由参赛教师自行承担相应责任。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both"/>
        <w:textAlignment w:val="auto"/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四、比赛内容及权重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</w:pP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比赛内容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由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  <w:t>说课及课堂展示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</w:rPr>
        <w:t>、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  <w:t>教学创新成果报告、</w:t>
      </w:r>
      <w:r>
        <w:rPr>
          <w:rFonts w:ascii="Times New Roman" w:hAnsi="Times New Roman" w:eastAsia="仿宋" w:cs="仿宋"/>
          <w:color w:val="auto"/>
          <w:sz w:val="24"/>
          <w:szCs w:val="24"/>
          <w:highlight w:val="none"/>
        </w:rPr>
        <w:t>教学设计创新汇报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eastAsia="zh-CN"/>
        </w:rPr>
        <w:t>、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  <w:t>回答专家提问四部分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</w:rPr>
        <w:t>，权重及要求见表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  <w:t>1。</w:t>
      </w:r>
    </w:p>
    <w:p>
      <w:pPr>
        <w:pStyle w:val="2"/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</w:pPr>
    </w:p>
    <w:p>
      <w:pPr>
        <w:pStyle w:val="2"/>
        <w:rPr>
          <w:rFonts w:hint="default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="Times New Roman" w:hAnsi="Times New Roman" w:eastAsia="仿宋" w:cs="仿宋"/>
          <w:b/>
          <w:bCs/>
          <w:color w:val="auto"/>
          <w:sz w:val="24"/>
          <w:szCs w:val="24"/>
          <w:highlight w:val="none"/>
          <w:lang w:val="en-US" w:eastAsia="zh-CN"/>
        </w:rPr>
        <w:t>表1 比赛内容及权重</w:t>
      </w:r>
    </w:p>
    <w:tbl>
      <w:tblPr>
        <w:tblStyle w:val="3"/>
        <w:tblW w:w="90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087"/>
        <w:gridCol w:w="870"/>
        <w:gridCol w:w="1168"/>
        <w:gridCol w:w="51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tblHeader/>
          <w:jc w:val="center"/>
        </w:trPr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序号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ascii="Times New Roman" w:hAnsi="Times New Roman" w:eastAsia="仿宋" w:cs="仿宋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bidi="ar"/>
              </w:rPr>
              <w:t>比赛内容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ascii="Times New Roman" w:hAnsi="Times New Roman" w:eastAsia="仿宋" w:cs="仿宋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bidi="ar"/>
              </w:rPr>
              <w:t>权重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ascii="Times New Roman" w:hAnsi="Times New Roman" w:eastAsia="仿宋" w:cs="仿宋"/>
                <w:b/>
                <w:bCs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bidi="ar"/>
              </w:rPr>
              <w:t>评分标准</w:t>
            </w:r>
          </w:p>
        </w:tc>
        <w:tc>
          <w:tcPr>
            <w:tcW w:w="5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bidi="ar"/>
              </w:rPr>
            </w:pP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bidi="ar"/>
              </w:rPr>
              <w:t>其他要求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1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default" w:ascii="Times New Roman" w:hAnsi="Times New Roman" w:eastAsia="仿宋" w:cs="仿宋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说课及课堂展示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ascii="Times New Roman" w:hAnsi="Times New Roman" w:eastAsia="仿宋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 w:eastAsia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仿宋"/>
                <w:color w:val="auto"/>
                <w:kern w:val="0"/>
                <w:sz w:val="21"/>
                <w:szCs w:val="21"/>
                <w:highlight w:val="none"/>
                <w:lang w:bidi="ar"/>
              </w:rPr>
              <w:t>0</w:t>
            </w:r>
            <w:r>
              <w:rPr>
                <w:rFonts w:ascii="Times New Roman" w:hAnsi="Times New Roman" w:eastAsia="仿宋"/>
                <w:color w:val="auto"/>
                <w:kern w:val="0"/>
                <w:sz w:val="21"/>
                <w:szCs w:val="21"/>
                <w:highlight w:val="none"/>
                <w:lang w:bidi="ar"/>
              </w:rPr>
              <w:t>%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eastAsia" w:ascii="Times New Roman" w:hAnsi="Times New Roman" w:eastAsia="仿宋" w:cs="仿宋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color w:val="auto"/>
                <w:sz w:val="21"/>
                <w:szCs w:val="21"/>
                <w:highlight w:val="none"/>
                <w:lang w:val="en-US" w:eastAsia="zh-CN"/>
              </w:rPr>
              <w:t>附件2</w:t>
            </w:r>
          </w:p>
        </w:tc>
        <w:tc>
          <w:tcPr>
            <w:tcW w:w="5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firstLine="420" w:firstLineChars="200"/>
              <w:textAlignment w:val="auto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每位参赛教师需提供1套主讲课程的</w:t>
            </w:r>
            <w:r>
              <w:rPr>
                <w:rFonts w:hint="default" w:ascii="Times New Roman" w:hAnsi="Times New Roman" w:eastAsia="仿宋" w:cs="仿宋"/>
                <w:b/>
                <w:bCs/>
                <w:color w:val="FF0000"/>
                <w:kern w:val="0"/>
                <w:sz w:val="21"/>
                <w:szCs w:val="21"/>
                <w:highlight w:val="none"/>
                <w:lang w:val="en-US" w:eastAsia="zh-CN" w:bidi="ar"/>
              </w:rPr>
              <w:t>教学大纲</w:t>
            </w: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和</w:t>
            </w: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主讲</w:t>
            </w: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章节1学时）的</w:t>
            </w:r>
            <w:r>
              <w:rPr>
                <w:rFonts w:hint="default" w:ascii="Times New Roman" w:hAnsi="Times New Roman" w:eastAsia="仿宋" w:cs="仿宋"/>
                <w:b/>
                <w:bCs/>
                <w:color w:val="FF0000"/>
                <w:kern w:val="0"/>
                <w:sz w:val="21"/>
                <w:szCs w:val="21"/>
                <w:highlight w:val="none"/>
                <w:lang w:val="en-US" w:eastAsia="zh-CN" w:bidi="ar"/>
              </w:rPr>
              <w:t>教学设计</w:t>
            </w:r>
            <w:r>
              <w:rPr>
                <w:rFonts w:hint="default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200"/>
              <w:textAlignment w:val="auto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1.</w:t>
            </w: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说课。参赛教师表述所选课题的教学设计及教学过程。</w:t>
            </w:r>
            <w:r>
              <w:rPr>
                <w:rFonts w:hint="default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时间</w:t>
            </w: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分钟</w:t>
            </w: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。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200"/>
              <w:textAlignment w:val="auto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2.课堂展示</w:t>
            </w: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。参赛教师针对</w:t>
            </w: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提供</w:t>
            </w: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章节自选某一知识点或教学环节模拟授课。参赛教师可根据教学需要，制作PPT等多媒体课件辅助教学，自行携带教学模型、挂图等教学用具，</w:t>
            </w:r>
            <w:r>
              <w:rPr>
                <w:rFonts w:hint="default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时间</w:t>
            </w: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15</w:t>
            </w:r>
            <w:r>
              <w:rPr>
                <w:rFonts w:hint="default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分钟</w:t>
            </w: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2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ascii="Times New Roman" w:hAnsi="Times New Roman" w:eastAsia="仿宋" w:cs="仿宋"/>
                <w:color w:val="auto"/>
                <w:sz w:val="21"/>
                <w:szCs w:val="21"/>
                <w:highlight w:val="none"/>
              </w:rPr>
            </w:pP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教学创新成果</w:t>
            </w: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报告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ascii="Times New Roman" w:hAnsi="Times New Roman" w:eastAsia="仿宋"/>
                <w:color w:val="auto"/>
                <w:sz w:val="21"/>
                <w:szCs w:val="21"/>
                <w:highlight w:val="none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20%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default" w:ascii="Times New Roman" w:hAnsi="Times New Roman" w:eastAsia="仿宋" w:cs="仿宋"/>
                <w:color w:val="auto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附件2</w:t>
            </w:r>
          </w:p>
        </w:tc>
        <w:tc>
          <w:tcPr>
            <w:tcW w:w="5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both"/>
              <w:textAlignment w:val="center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每位参赛教师需提供</w:t>
            </w:r>
            <w:r>
              <w:rPr>
                <w:rFonts w:hint="default" w:ascii="Times New Roman" w:hAnsi="Times New Roman" w:eastAsia="仿宋" w:cs="仿宋"/>
                <w:b/>
                <w:bCs/>
                <w:color w:val="FF0000"/>
                <w:kern w:val="0"/>
                <w:sz w:val="21"/>
                <w:szCs w:val="21"/>
                <w:highlight w:val="none"/>
                <w:lang w:val="en-US" w:eastAsia="zh-CN" w:bidi="ar"/>
              </w:rPr>
              <w:t>1套教学创新成果</w:t>
            </w:r>
            <w:r>
              <w:rPr>
                <w:rFonts w:hint="eastAsia" w:ascii="Times New Roman" w:hAnsi="Times New Roman" w:eastAsia="仿宋" w:cs="仿宋"/>
                <w:b/>
                <w:bCs/>
                <w:color w:val="FF0000"/>
                <w:kern w:val="0"/>
                <w:sz w:val="21"/>
                <w:szCs w:val="21"/>
                <w:highlight w:val="none"/>
                <w:lang w:val="en-US" w:eastAsia="zh-CN" w:bidi="ar"/>
              </w:rPr>
              <w:t>报告</w:t>
            </w: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。</w:t>
            </w:r>
            <w:r>
              <w:rPr>
                <w:rFonts w:hint="eastAsia" w:ascii="仿宋" w:hAnsi="仿宋" w:eastAsia="仿宋" w:cs="仿宋"/>
                <w:b w:val="0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教学创新成果报告应基于参赛课程的教学实践经验与反思，体现教学创新成效。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b w:val="0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聚焦教学实践的真实“问题”，通过课程内容的重构、教学方法的创新、教学环境的创设、教学评价的改革等，采用教学实验研究的范式解决教学问题，明确教学成效及其推广价值。课程思政创新报告应立足于学科专业的育人特点和要求，发现和解决本课程开展课程思政教学过程中的真实问题。报告包括摘要、正文，字数4000字左右为宜。</w:t>
            </w:r>
            <w:r>
              <w:rPr>
                <w:rFonts w:hint="eastAsia" w:ascii="仿宋" w:hAnsi="仿宋" w:eastAsia="仿宋" w:cs="仿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  <w:t>教学创新成果的支撑材料及目录详见附件3</w:t>
            </w:r>
            <w:r>
              <w:rPr>
                <w:rFonts w:hint="eastAsia" w:ascii="仿宋" w:hAnsi="仿宋" w:eastAsia="仿宋" w:cs="仿宋"/>
                <w:b w:val="0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3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bidi="ar"/>
              </w:rPr>
            </w:pPr>
            <w:r>
              <w:rPr>
                <w:rFonts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bidi="ar"/>
              </w:rPr>
              <w:t>教学设计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ascii="Times New Roman" w:hAnsi="Times New Roman" w:eastAsia="仿宋" w:cs="仿宋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bidi="ar"/>
              </w:rPr>
              <w:t>创新汇报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ascii="Times New Roman" w:hAnsi="Times New Roman" w:eastAsia="仿宋" w:cstheme="minorBidi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仿宋"/>
                <w:color w:val="auto"/>
                <w:kern w:val="0"/>
                <w:sz w:val="21"/>
                <w:szCs w:val="21"/>
                <w:highlight w:val="none"/>
                <w:lang w:bidi="ar"/>
              </w:rPr>
              <w:t>0</w:t>
            </w:r>
            <w:r>
              <w:rPr>
                <w:rFonts w:ascii="Times New Roman" w:hAnsi="Times New Roman" w:eastAsia="仿宋"/>
                <w:color w:val="auto"/>
                <w:kern w:val="0"/>
                <w:sz w:val="21"/>
                <w:szCs w:val="21"/>
                <w:highlight w:val="none"/>
                <w:lang w:bidi="ar"/>
              </w:rPr>
              <w:t>%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eastAsia" w:ascii="Times New Roman" w:hAnsi="Times New Roman" w:eastAsia="仿宋" w:cs="仿宋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附件2</w:t>
            </w:r>
          </w:p>
        </w:tc>
        <w:tc>
          <w:tcPr>
            <w:tcW w:w="5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both"/>
              <w:textAlignment w:val="center"/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结合教学大纲与教学实践，进行</w:t>
            </w:r>
            <w:r>
              <w:rPr>
                <w:rFonts w:hint="default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不超过</w:t>
            </w: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10</w:t>
            </w:r>
            <w:r>
              <w:rPr>
                <w:rFonts w:hint="default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分钟</w:t>
            </w: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的教学设计创新汇报。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4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回答专家提问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default" w:ascii="Times New Roman" w:hAnsi="Times New Roman" w:eastAsia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20%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jc w:val="center"/>
              <w:textAlignment w:val="center"/>
              <w:rPr>
                <w:rFonts w:hint="default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附件2</w:t>
            </w:r>
          </w:p>
        </w:tc>
        <w:tc>
          <w:tcPr>
            <w:tcW w:w="5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both"/>
              <w:textAlignment w:val="center"/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根据说课及课堂教学展示、教学设计创新汇报情况，专家重点围绕课堂教学创新的理念、组织、实施与效果进行提问，参赛教师进行回答，</w:t>
            </w:r>
            <w:r>
              <w:rPr>
                <w:rFonts w:hint="eastAsia" w:ascii="Times New Roman" w:hAnsi="Times New Roman" w:eastAsia="仿宋" w:cs="仿宋"/>
                <w:b/>
                <w:bCs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时间5分钟</w:t>
            </w:r>
            <w:r>
              <w:rPr>
                <w:rFonts w:hint="eastAsia" w:ascii="Times New Roman" w:hAnsi="Times New Roman" w:eastAsia="仿宋" w:cs="仿宋"/>
                <w:color w:val="auto"/>
                <w:kern w:val="0"/>
                <w:sz w:val="21"/>
                <w:szCs w:val="21"/>
                <w:highlight w:val="none"/>
                <w:lang w:val="en-US" w:eastAsia="zh-CN" w:bidi="ar"/>
              </w:rPr>
              <w:t>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both"/>
        <w:textAlignment w:val="auto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五、评委会成员构成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（一）评委会领导小组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组 长：主管校长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副组长：教务处处长，人事处处长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秘书长：教务处副处长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（二）工作小组及成员资格条件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评委会工作小组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工作组长由领导小组提名。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评委会人员构成及其条件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center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专家评委组员由工作小组长选拔，尽量考虑学科的覆盖面。专家评委负责说课及课堂展示、教学创新成果报告、教学设计创新汇报、回答专家提问四部分的评审。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both"/>
        <w:textAlignment w:val="auto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六、单位分工及比赛进程安排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 xml:space="preserve">（一）四个组办单位分工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纪检监察办公室负责监督全程纪律。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人事处负责审核参赛教师资格、组织比赛现场教师的观摩。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教务处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、教学督导办公室</w:t>
      </w:r>
      <w:r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负责组织评委专家对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  <w:t>说课及课堂展示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</w:rPr>
        <w:t>、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  <w:t>教学创新成果报告、</w:t>
      </w:r>
      <w:r>
        <w:rPr>
          <w:rFonts w:ascii="Times New Roman" w:hAnsi="Times New Roman" w:eastAsia="仿宋" w:cs="仿宋"/>
          <w:color w:val="auto"/>
          <w:sz w:val="24"/>
          <w:szCs w:val="24"/>
          <w:highlight w:val="none"/>
        </w:rPr>
        <w:t>教学设计创新汇报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eastAsia="zh-CN"/>
        </w:rPr>
        <w:t>、</w:t>
      </w:r>
      <w:r>
        <w:rPr>
          <w:rFonts w:hint="eastAsia" w:ascii="Times New Roman" w:hAnsi="Times New Roman" w:eastAsia="仿宋" w:cs="仿宋"/>
          <w:color w:val="auto"/>
          <w:sz w:val="24"/>
          <w:szCs w:val="24"/>
          <w:highlight w:val="none"/>
          <w:lang w:val="en-US" w:eastAsia="zh-CN"/>
        </w:rPr>
        <w:t>回答专家提问四部分的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评审</w:t>
      </w:r>
      <w:r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楷体" w:hAnsi="楷体" w:eastAsia="楷体" w:cs="楷体"/>
          <w:color w:val="000000"/>
          <w:kern w:val="0"/>
          <w:sz w:val="24"/>
          <w:szCs w:val="24"/>
          <w:lang w:val="en-US" w:eastAsia="zh-CN" w:bidi="ar"/>
        </w:rPr>
        <w:t>（二）比赛进程与名额分配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rPr>
          <w:rFonts w:hint="eastAsia" w:ascii="仿宋" w:hAnsi="仿宋" w:eastAsia="仿宋" w:cs="仿宋"/>
          <w:color w:val="auto"/>
          <w:sz w:val="24"/>
          <w:szCs w:val="24"/>
          <w:highlight w:val="none"/>
        </w:rPr>
      </w:pP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</w:rPr>
        <w:t>比赛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none"/>
        </w:rPr>
        <w:t>分为初赛和决赛，初赛由各学院组织，严格选拔，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每学院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none"/>
        </w:rPr>
        <w:t>推荐</w:t>
      </w:r>
      <w:r>
        <w:rPr>
          <w:rFonts w:hint="default" w:ascii="Times New Roman" w:hAnsi="Times New Roman" w:eastAsia="仿宋" w:cs="Times New Roman"/>
          <w:color w:val="auto"/>
          <w:sz w:val="24"/>
          <w:szCs w:val="24"/>
          <w:highlight w:val="none"/>
          <w:lang w:val="en-US" w:eastAsia="zh-CN"/>
        </w:rPr>
        <w:t>2-3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名参赛教师（或团队）</w:t>
      </w:r>
      <w:r>
        <w:rPr>
          <w:rFonts w:hint="eastAsia" w:ascii="仿宋" w:hAnsi="仿宋" w:eastAsia="仿宋" w:cs="仿宋"/>
          <w:color w:val="auto"/>
          <w:sz w:val="24"/>
          <w:szCs w:val="24"/>
          <w:highlight w:val="none"/>
        </w:rPr>
        <w:t>进入校级决赛。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both"/>
        <w:textAlignment w:val="auto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七、奖项设置及有关政策</w:t>
      </w:r>
    </w:p>
    <w:tbl>
      <w:tblPr>
        <w:tblStyle w:val="3"/>
        <w:tblW w:w="83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2126"/>
        <w:gridCol w:w="2425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tblHeader/>
          <w:jc w:val="center"/>
        </w:trPr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仿宋"/>
                <w:b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eastAsia="仿宋"/>
                <w:b/>
                <w:kern w:val="0"/>
                <w:sz w:val="21"/>
                <w:szCs w:val="21"/>
                <w:highlight w:val="none"/>
                <w:lang w:val="en-US" w:eastAsia="zh-CN"/>
              </w:rPr>
              <w:t>序号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eastAsia="仿宋" w:asciiTheme="minorHAnsi" w:hAnsiTheme="minorHAnsi" w:cstheme="minorBidi"/>
                <w:b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eastAsia="仿宋"/>
                <w:b/>
                <w:kern w:val="0"/>
                <w:sz w:val="21"/>
                <w:szCs w:val="21"/>
                <w:highlight w:val="none"/>
              </w:rPr>
              <w:t>奖项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仿宋" w:asciiTheme="minorHAnsi" w:hAnsiTheme="minorHAnsi" w:cstheme="minorBidi"/>
                <w:b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eastAsia="仿宋"/>
                <w:b/>
                <w:kern w:val="0"/>
                <w:sz w:val="21"/>
                <w:szCs w:val="21"/>
                <w:highlight w:val="none"/>
                <w:lang w:val="en-US" w:eastAsia="zh-CN"/>
              </w:rPr>
              <w:t>组别</w:t>
            </w:r>
          </w:p>
        </w:tc>
        <w:tc>
          <w:tcPr>
            <w:tcW w:w="2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b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eastAsia="仿宋"/>
                <w:b/>
                <w:kern w:val="0"/>
                <w:sz w:val="21"/>
                <w:szCs w:val="21"/>
                <w:highlight w:val="none"/>
              </w:rPr>
              <w:t>拟定数</w:t>
            </w:r>
            <w:r>
              <w:rPr>
                <w:rFonts w:hint="eastAsia" w:eastAsia="仿宋"/>
                <w:b/>
                <w:kern w:val="0"/>
                <w:sz w:val="21"/>
                <w:szCs w:val="21"/>
                <w:highlight w:val="none"/>
                <w:lang w:val="en-US" w:eastAsia="zh-CN"/>
              </w:rPr>
              <w:t>量</w:t>
            </w:r>
            <w:r>
              <w:rPr>
                <w:rFonts w:hint="eastAsia" w:eastAsia="仿宋"/>
                <w:b/>
                <w:kern w:val="0"/>
                <w:sz w:val="21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eastAsia="仿宋"/>
                <w:b/>
                <w:kern w:val="0"/>
                <w:sz w:val="21"/>
                <w:szCs w:val="21"/>
                <w:highlight w:val="none"/>
                <w:lang w:val="en-US" w:eastAsia="zh-CN"/>
              </w:rPr>
              <w:t>名</w:t>
            </w:r>
            <w:r>
              <w:rPr>
                <w:rFonts w:hint="eastAsia" w:eastAsia="仿宋"/>
                <w:b/>
                <w:kern w:val="0"/>
                <w:sz w:val="21"/>
                <w:szCs w:val="21"/>
                <w:highlight w:val="no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仿宋" w:asciiTheme="minorHAnsi" w:hAnsiTheme="minorHAnsi" w:cstheme="minorBidi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eastAsia="仿宋"/>
                <w:kern w:val="0"/>
                <w:sz w:val="21"/>
                <w:szCs w:val="21"/>
                <w:highlight w:val="none"/>
              </w:rPr>
              <w:t>一等奖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仿宋" w:asciiTheme="minorHAnsi" w:hAnsiTheme="minorHAnsi" w:cstheme="minorBidi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eastAsia="仿宋"/>
                <w:kern w:val="0"/>
                <w:sz w:val="21"/>
                <w:szCs w:val="21"/>
                <w:highlight w:val="none"/>
                <w:lang w:val="en-US" w:eastAsia="zh-CN"/>
              </w:rPr>
              <w:t>理工组</w:t>
            </w:r>
          </w:p>
        </w:tc>
        <w:tc>
          <w:tcPr>
            <w:tcW w:w="2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0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eastAsia="仿宋"/>
                <w:kern w:val="0"/>
                <w:sz w:val="21"/>
                <w:szCs w:val="21"/>
                <w:highlight w:val="none"/>
                <w:lang w:val="en-US" w:eastAsia="zh-CN"/>
              </w:rPr>
            </w:pPr>
          </w:p>
        </w:tc>
        <w:tc>
          <w:tcPr>
            <w:tcW w:w="24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eastAsia="仿宋" w:asciiTheme="minorHAnsi" w:hAnsiTheme="minorHAnsi" w:cstheme="minorBidi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eastAsia="仿宋"/>
                <w:kern w:val="0"/>
                <w:sz w:val="21"/>
                <w:szCs w:val="21"/>
                <w:highlight w:val="none"/>
                <w:lang w:val="en-US" w:eastAsia="zh-CN"/>
              </w:rPr>
              <w:t>非理工组</w:t>
            </w:r>
          </w:p>
        </w:tc>
        <w:tc>
          <w:tcPr>
            <w:tcW w:w="27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仿宋" w:asciiTheme="minorHAnsi" w:hAnsiTheme="minorHAnsi" w:cstheme="minorBidi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eastAsia="仿宋"/>
                <w:kern w:val="0"/>
                <w:sz w:val="21"/>
                <w:szCs w:val="21"/>
                <w:highlight w:val="none"/>
              </w:rPr>
              <w:t>二等奖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eastAsia="仿宋"/>
                <w:kern w:val="0"/>
                <w:sz w:val="21"/>
                <w:szCs w:val="21"/>
                <w:highlight w:val="none"/>
                <w:lang w:val="en-US" w:eastAsia="zh-CN"/>
              </w:rPr>
              <w:t>理工组</w:t>
            </w:r>
          </w:p>
        </w:tc>
        <w:tc>
          <w:tcPr>
            <w:tcW w:w="2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0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4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eastAsia="仿宋"/>
                <w:kern w:val="0"/>
                <w:sz w:val="21"/>
                <w:szCs w:val="21"/>
                <w:highlight w:val="none"/>
                <w:lang w:val="en-US" w:eastAsia="zh-CN"/>
              </w:rPr>
              <w:t>非理工组</w:t>
            </w:r>
          </w:p>
        </w:tc>
        <w:tc>
          <w:tcPr>
            <w:tcW w:w="27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0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21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仿宋" w:asciiTheme="minorHAnsi" w:hAnsiTheme="minorHAnsi" w:cstheme="minorBidi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eastAsia="仿宋"/>
                <w:kern w:val="0"/>
                <w:sz w:val="21"/>
                <w:szCs w:val="21"/>
                <w:highlight w:val="none"/>
              </w:rPr>
              <w:t>三等奖</w:t>
            </w:r>
          </w:p>
        </w:tc>
        <w:tc>
          <w:tcPr>
            <w:tcW w:w="24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仿宋" w:asciiTheme="minorHAnsi" w:hAnsiTheme="minorHAnsi" w:cstheme="minorBidi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eastAsia="仿宋"/>
                <w:kern w:val="0"/>
                <w:sz w:val="21"/>
                <w:szCs w:val="21"/>
                <w:highlight w:val="none"/>
                <w:lang w:val="en-US" w:eastAsia="zh-CN"/>
              </w:rPr>
              <w:t>理工组</w:t>
            </w:r>
          </w:p>
        </w:tc>
        <w:tc>
          <w:tcPr>
            <w:tcW w:w="276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105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仿宋" w:asciiTheme="minorHAnsi" w:hAnsiTheme="minorHAnsi" w:cstheme="minorBidi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</w:p>
        </w:tc>
        <w:tc>
          <w:tcPr>
            <w:tcW w:w="24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eastAsia="仿宋" w:asciiTheme="minorHAnsi" w:hAnsiTheme="minorHAnsi" w:cstheme="minorBidi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eastAsia="仿宋"/>
                <w:kern w:val="0"/>
                <w:sz w:val="21"/>
                <w:szCs w:val="21"/>
                <w:highlight w:val="none"/>
                <w:lang w:val="en-US" w:eastAsia="zh-CN"/>
              </w:rPr>
              <w:t>非理工组</w:t>
            </w:r>
          </w:p>
        </w:tc>
        <w:tc>
          <w:tcPr>
            <w:tcW w:w="276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602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eastAsia="仿宋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eastAsia="仿宋"/>
                <w:kern w:val="0"/>
                <w:sz w:val="21"/>
                <w:szCs w:val="21"/>
                <w:highlight w:val="none"/>
                <w:lang w:val="en-US" w:eastAsia="zh-CN"/>
              </w:rPr>
              <w:t>合计</w:t>
            </w:r>
          </w:p>
        </w:tc>
        <w:tc>
          <w:tcPr>
            <w:tcW w:w="276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kern w:val="0"/>
                <w:sz w:val="21"/>
                <w:szCs w:val="21"/>
                <w:highlight w:val="none"/>
                <w:lang w:val="en-US" w:eastAsia="zh-CN"/>
              </w:rPr>
              <w:t>12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both"/>
        <w:textAlignment w:val="auto"/>
      </w:pPr>
      <w:r>
        <w:rPr>
          <w:rFonts w:hint="eastAsia" w:ascii="Times New Roman" w:hAnsi="Times New Roman" w:eastAsia="仿宋" w:cs="仿宋"/>
          <w:bCs/>
          <w:sz w:val="24"/>
          <w:szCs w:val="24"/>
          <w:lang w:val="en-US" w:eastAsia="zh-CN"/>
        </w:rPr>
        <w:t>学校将根据河北省要求择优推荐获奖教师</w:t>
      </w:r>
      <w:r>
        <w:rPr>
          <w:rFonts w:hint="eastAsia" w:ascii="Times New Roman" w:hAnsi="Times New Roman" w:eastAsia="仿宋" w:cs="仿宋"/>
          <w:bCs/>
          <w:sz w:val="24"/>
          <w:szCs w:val="24"/>
        </w:rPr>
        <w:t>参加河北省高校教师教学创新大赛</w:t>
      </w:r>
      <w:r>
        <w:rPr>
          <w:rFonts w:hint="eastAsia" w:ascii="Times New Roman" w:hAnsi="Times New Roman" w:eastAsia="仿宋" w:cs="仿宋"/>
          <w:bCs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仿宋" w:cs="仿宋"/>
          <w:bCs/>
          <w:sz w:val="24"/>
          <w:szCs w:val="24"/>
          <w:lang w:val="en-US" w:eastAsia="zh-CN"/>
        </w:rPr>
        <w:t>并根据河北省分配名额进行调整</w:t>
      </w:r>
      <w:r>
        <w:rPr>
          <w:rFonts w:hint="eastAsia" w:ascii="Times New Roman" w:hAnsi="Times New Roman" w:eastAsia="仿宋" w:cs="仿宋"/>
          <w:bCs/>
          <w:sz w:val="24"/>
          <w:szCs w:val="24"/>
        </w:rPr>
        <w:t>。</w:t>
      </w: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比赛成绩作为教师相关考核的参考依据之一。</w:t>
      </w:r>
    </w:p>
    <w:p>
      <w:pPr>
        <w:pStyle w:val="2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mNjMjZiNDVlYjM4MDkzODljMDEwMmU5MjY0ZDQifQ=="/>
  </w:docVars>
  <w:rsids>
    <w:rsidRoot w:val="689E0B96"/>
    <w:rsid w:val="2BB61905"/>
    <w:rsid w:val="689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2023-11-02T06:11:00Z</dcterms:created>
  <dc:creator>复苏之风</dc:creator>
  <cp:lastModifiedBy>复苏之风</cp:lastModifiedBy>
  <dcterms:modified xsi:type="dcterms:W3CDTF">2023-12-13T01:12:12Z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123FFC10594441BE89C2C990E1A74BC0_11</vt:lpwstr>
  </property>
</Properties>
</file>