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01" w:rsidRDefault="00574F01"/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8456"/>
      </w:tblGrid>
      <w:tr w:rsidR="002E6BC2" w:rsidRPr="00937070" w:rsidTr="000361CF">
        <w:tc>
          <w:tcPr>
            <w:tcW w:w="8456" w:type="dxa"/>
          </w:tcPr>
          <w:p w:rsidR="003C2A40" w:rsidRPr="003C2A40" w:rsidRDefault="002E6BC2" w:rsidP="000361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E33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13C7D" w:rsidRPr="00B13C7D">
              <w:rPr>
                <w:rFonts w:ascii="Times New Roman" w:hAnsi="Times New Roman" w:cs="Times New Roman"/>
                <w:bCs/>
                <w:sz w:val="24"/>
                <w:szCs w:val="24"/>
              </w:rPr>
              <w:t>Magda Souza Santos</w:t>
            </w:r>
          </w:p>
        </w:tc>
      </w:tr>
      <w:tr w:rsidR="002E6BC2" w:rsidRPr="00937070" w:rsidTr="000361CF">
        <w:tc>
          <w:tcPr>
            <w:tcW w:w="8456" w:type="dxa"/>
          </w:tcPr>
          <w:p w:rsidR="002E6BC2" w:rsidRPr="00937070" w:rsidRDefault="00A10350" w:rsidP="00FF2CC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Data: </w:t>
            </w:r>
            <w:r w:rsidR="00B13C7D" w:rsidRPr="00B13C7D">
              <w:rPr>
                <w:rFonts w:ascii="Times New Roman" w:hAnsi="Times New Roman" w:cs="Times New Roman"/>
                <w:bCs/>
                <w:sz w:val="24"/>
                <w:szCs w:val="24"/>
              </w:rPr>
              <w:t>08/10/2019</w:t>
            </w:r>
          </w:p>
        </w:tc>
      </w:tr>
      <w:tr w:rsidR="002E6BC2" w:rsidRPr="00937070" w:rsidTr="000361CF">
        <w:tc>
          <w:tcPr>
            <w:tcW w:w="8456" w:type="dxa"/>
          </w:tcPr>
          <w:p w:rsidR="009D551C" w:rsidRPr="002452C2" w:rsidRDefault="002E6BC2" w:rsidP="008F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245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Registro de dados bibliográficos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(NBR 6023:2002):</w:t>
            </w:r>
          </w:p>
          <w:p w:rsidR="00182CB0" w:rsidRPr="002452C2" w:rsidRDefault="002452C2" w:rsidP="00182C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1385888"/>
            <w:r w:rsidRPr="002452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ZIBETTI, Darcy Walmor; QUERUBINI, </w:t>
            </w:r>
            <w:proofErr w:type="spellStart"/>
            <w:r w:rsidRPr="002452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Albenir</w:t>
            </w:r>
            <w:proofErr w:type="spellEnd"/>
            <w:r w:rsidRPr="002452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 </w:t>
            </w:r>
            <w:r w:rsidRPr="002452C2">
              <w:rPr>
                <w:rStyle w:val="Fort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 DIREITO AGRÁRIO BRASILEIRO E A SUA RELAÇÃO COM O AGRONEGÓCIO. </w:t>
            </w:r>
            <w:r w:rsidRPr="002452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38 f. Dissertação (Mestrado) - Curso de Direito, Instituto Superior do Litoral, Paraná, 2016.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1"/>
          </w:p>
        </w:tc>
      </w:tr>
      <w:bookmarkEnd w:id="0"/>
      <w:tr w:rsidR="002E6BC2" w:rsidRPr="00937070" w:rsidTr="000361CF">
        <w:tc>
          <w:tcPr>
            <w:tcW w:w="8456" w:type="dxa"/>
          </w:tcPr>
          <w:p w:rsidR="002E6BC2" w:rsidRDefault="002E6BC2" w:rsidP="00D77E18">
            <w:pPr>
              <w:pBdr>
                <w:bottom w:val="dashed" w:sz="6" w:space="4" w:color="CCCCCC"/>
              </w:pBdr>
              <w:spacing w:after="75"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370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Tema </w:t>
            </w:r>
            <w:r w:rsidR="00964D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B0553">
              <w:rPr>
                <w:rFonts w:ascii="Times New Roman" w:hAnsi="Times New Roman" w:cs="Times New Roman"/>
                <w:sz w:val="24"/>
                <w:szCs w:val="24"/>
              </w:rPr>
              <w:t>NBR 6028:2003</w:t>
            </w:r>
            <w:r w:rsidRPr="009370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7E18" w:rsidRPr="00FC0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6C4" w:rsidRPr="00D55800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" w:hAnsi="TimesNewRoman" w:cs="TimesNewRoman"/>
                <w:sz w:val="23"/>
                <w:szCs w:val="23"/>
              </w:rPr>
            </w:pPr>
            <w:r w:rsidRPr="00D55800">
              <w:rPr>
                <w:rFonts w:ascii="TimesNewRoman" w:hAnsi="TimesNewRoman" w:cs="TimesNewRoman"/>
                <w:sz w:val="24"/>
                <w:szCs w:val="24"/>
              </w:rPr>
              <w:t>Fundamentos</w:t>
            </w:r>
            <w:r>
              <w:rPr>
                <w:rFonts w:ascii="TimesNewRoman" w:hAnsi="TimesNewRoman" w:cs="TimesNewRoman"/>
                <w:sz w:val="23"/>
                <w:szCs w:val="23"/>
              </w:rPr>
              <w:t xml:space="preserve"> epistemológicos da posse e da propriedade. Teorias da Posse. </w:t>
            </w:r>
          </w:p>
        </w:tc>
      </w:tr>
      <w:tr w:rsidR="002E6BC2" w:rsidRPr="002452C2" w:rsidTr="000361CF">
        <w:tc>
          <w:tcPr>
            <w:tcW w:w="8456" w:type="dxa"/>
          </w:tcPr>
          <w:p w:rsidR="002E6BC2" w:rsidRPr="002452C2" w:rsidRDefault="002E6BC2" w:rsidP="002703D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Conteúdo fichado: </w:t>
            </w:r>
            <w:r w:rsidR="00964D2C" w:rsidRPr="002452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NBR 10520:2002)</w:t>
            </w:r>
          </w:p>
          <w:p w:rsidR="00D55800" w:rsidRPr="002452C2" w:rsidRDefault="00464153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“[...]</w:t>
            </w:r>
            <w:r w:rsid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5800" w:rsidRPr="002452C2">
              <w:rPr>
                <w:rFonts w:ascii="Times New Roman" w:hAnsi="Times New Roman" w:cs="Times New Roman"/>
                <w:sz w:val="24"/>
                <w:szCs w:val="24"/>
              </w:rPr>
              <w:t>Entre as décadas de 1960 e 1970, teve início nos Estados Unidos a chamada</w:t>
            </w:r>
          </w:p>
          <w:p w:rsidR="00D55800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Revolução Verde, que prega um modelo de exploração da terra a partir do emprego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agricultura de novas técnicas e tecnologias visando o aumento da produtividade</w:t>
            </w:r>
          </w:p>
          <w:p w:rsidR="00D55800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agrícola. A Revolução Verde trazia em seu discurso a promessa de combater a fome</w:t>
            </w:r>
          </w:p>
          <w:p w:rsidR="00835DF8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mundial, especialmente nos países subdesenvolvidos. Desta forma, a Revolução Verde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propunha uma fórmula para superar a conhecida Teoria Malthusiana, segundo a qual a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produção agrícola crescia em progressão aritmética, enquanto o crescimento da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população se dava em progressão geométrica.</w:t>
            </w:r>
            <w:r w:rsidRPr="00245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8196A" w:rsidRPr="00245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pág. </w:t>
            </w:r>
            <w:r w:rsidRPr="00245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  <w:r w:rsidR="009D7B92" w:rsidRPr="002452C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D55800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5800" w:rsidRPr="002452C2" w:rsidRDefault="00C145E2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“[...]</w:t>
            </w:r>
            <w:r w:rsid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5800" w:rsidRPr="002452C2">
              <w:rPr>
                <w:rFonts w:ascii="Times New Roman" w:hAnsi="Times New Roman" w:cs="Times New Roman"/>
                <w:sz w:val="24"/>
                <w:szCs w:val="24"/>
              </w:rPr>
              <w:t>A teoria do agronegócio é didaticamente representada como o “antes da</w:t>
            </w:r>
          </w:p>
          <w:p w:rsidR="00D55800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porteira”, o “dentro da porteira” e o “fora da porteira”, em alusão às diversas </w:t>
            </w:r>
            <w:proofErr w:type="spellStart"/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fasesou</w:t>
            </w:r>
            <w:proofErr w:type="spellEnd"/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seguimentos que se estruturam as cadeias produtivas.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O “antes da porteira” (da propriedade agrária) é caracterizado pela fase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preparatória da exploração da atividade agrária. É quando se observa a tomada de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providências pelo produtor rural, como, buscar créditos, financiamentos, compra de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fertilizantes, compra de maquinário, sementes e matrizes, etc.</w:t>
            </w:r>
          </w:p>
          <w:p w:rsidR="00D55800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Por sua vez, é “dentro da porteira”, ou seja, dentro da propriedade agrária, que</w:t>
            </w:r>
          </w:p>
          <w:p w:rsidR="00D55800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se desenvolve a produção de alimentos ou matérias-primas, através da agricultura,</w:t>
            </w:r>
          </w:p>
          <w:p w:rsidR="00D55800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pecuária ou extrativismo. É “dentro da porteira” que se observa a semeadura dos</w:t>
            </w:r>
          </w:p>
          <w:p w:rsidR="00D55800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campos, o emprego das técnicas de produção e a colheita. É aqui que se encontram os</w:t>
            </w:r>
          </w:p>
          <w:p w:rsidR="008F4CD3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produtores rurais como principais atores das cadeias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produtivas.</w:t>
            </w:r>
            <w:r w:rsidR="00F93C67"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45E2" w:rsidRPr="00245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pág. </w:t>
            </w:r>
            <w:r w:rsidRPr="00245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  <w:r w:rsidR="009D7B92" w:rsidRPr="002452C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D55800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BC2" w:rsidRPr="002452C2" w:rsidRDefault="00D55800" w:rsidP="00D55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“[...]</w:t>
            </w:r>
            <w:r w:rsid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agronegócio e o Direito Agrário possuem em comum a exploração da atividade agrária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como ponto central de seu objeto. Por decorrência lógica, sendo o ramo especializado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52C2" w:rsidRPr="00245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pág.</w:t>
            </w:r>
            <w:r w:rsidR="00245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52C2" w:rsidRPr="00245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  <w:r w:rsidR="002452C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6BC2" w:rsidRPr="002452C2" w:rsidTr="000361CF">
        <w:tc>
          <w:tcPr>
            <w:tcW w:w="8456" w:type="dxa"/>
          </w:tcPr>
          <w:p w:rsidR="007A4EF0" w:rsidRPr="002452C2" w:rsidRDefault="002E6BC2" w:rsidP="00C145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b/>
                <w:sz w:val="24"/>
                <w:szCs w:val="24"/>
              </w:rPr>
              <w:t>Comentários:</w:t>
            </w:r>
            <w:r w:rsidR="0063005A" w:rsidRPr="00245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D551C" w:rsidRPr="002452C2" w:rsidRDefault="002452C2" w:rsidP="00D14F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O Direito Agrário é o ramo especializado que regula entre outras as atividades do agronegócio tendo traços da Revolução Verde.</w:t>
            </w:r>
          </w:p>
        </w:tc>
      </w:tr>
      <w:tr w:rsidR="002E6BC2" w:rsidRPr="002452C2" w:rsidTr="000361CF">
        <w:tc>
          <w:tcPr>
            <w:tcW w:w="8456" w:type="dxa"/>
          </w:tcPr>
          <w:p w:rsidR="002E6BC2" w:rsidRPr="002452C2" w:rsidRDefault="002E6BC2" w:rsidP="002452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Sua conclusão/consideração final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452C2" w:rsidRPr="002452C2" w:rsidRDefault="002452C2" w:rsidP="002452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Diante das características do cenário agrário do Brasil, o Direito Agrário</w:t>
            </w:r>
          </w:p>
          <w:p w:rsidR="00411E07" w:rsidRPr="002452C2" w:rsidRDefault="002452C2" w:rsidP="002452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brasileiro possui um objeto amplo, abrangendo em seu conteúdo questões envolvendo o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meio ambiente (solo, uso da água, vegetação nativa, agrotóxicos, resíduos, </w:t>
            </w:r>
            <w:proofErr w:type="spellStart"/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), crédito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rural, títulos de crédito rural, comercialização, armazenagem, certificação dos produtos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agrícolas, produção orgânica, matérias referentes aos organismos geneticamente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modificados, segurança alimentar, propriedade intelectual no agronegócio, mudanças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2C2">
              <w:rPr>
                <w:rFonts w:ascii="Times New Roman" w:hAnsi="Times New Roman" w:cs="Times New Roman"/>
                <w:sz w:val="24"/>
                <w:szCs w:val="24"/>
              </w:rPr>
              <w:t>climáticas, etc.</w:t>
            </w:r>
            <w:r w:rsidRPr="002452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2E6BC2" w:rsidRPr="002452C2" w:rsidRDefault="002E6BC2" w:rsidP="002E6BC2">
      <w:pPr>
        <w:rPr>
          <w:rFonts w:ascii="Times New Roman" w:hAnsi="Times New Roman" w:cs="Times New Roman"/>
        </w:rPr>
      </w:pPr>
    </w:p>
    <w:p w:rsidR="00F341DE" w:rsidRPr="002452C2" w:rsidRDefault="00F341DE">
      <w:pPr>
        <w:rPr>
          <w:rFonts w:ascii="Times New Roman" w:hAnsi="Times New Roman" w:cs="Times New Roman"/>
        </w:rPr>
      </w:pPr>
    </w:p>
    <w:sectPr w:rsidR="00F341DE" w:rsidRPr="002452C2" w:rsidSect="00574F01">
      <w:headerReference w:type="default" r:id="rId7"/>
      <w:pgSz w:w="11906" w:h="16838"/>
      <w:pgMar w:top="150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81A" w:rsidRDefault="0095581A">
      <w:pPr>
        <w:spacing w:after="0" w:line="240" w:lineRule="auto"/>
      </w:pPr>
      <w:r>
        <w:separator/>
      </w:r>
    </w:p>
  </w:endnote>
  <w:endnote w:type="continuationSeparator" w:id="0">
    <w:p w:rsidR="0095581A" w:rsidRDefault="0095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12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81A" w:rsidRDefault="0095581A">
      <w:pPr>
        <w:spacing w:after="0" w:line="240" w:lineRule="auto"/>
      </w:pPr>
      <w:r>
        <w:separator/>
      </w:r>
    </w:p>
  </w:footnote>
  <w:footnote w:type="continuationSeparator" w:id="0">
    <w:p w:rsidR="0095581A" w:rsidRDefault="0095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F01" w:rsidRDefault="00574F01" w:rsidP="00574F01">
    <w:pPr>
      <w:pStyle w:val="Cabealho"/>
      <w:tabs>
        <w:tab w:val="left" w:pos="1334"/>
        <w:tab w:val="center" w:pos="3544"/>
        <w:tab w:val="center" w:pos="4890"/>
      </w:tabs>
      <w:jc w:val="center"/>
      <w:rPr>
        <w:b/>
        <w:caps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B427BF4" wp14:editId="209A18CF">
          <wp:simplePos x="0" y="0"/>
          <wp:positionH relativeFrom="column">
            <wp:posOffset>-813435</wp:posOffset>
          </wp:positionH>
          <wp:positionV relativeFrom="paragraph">
            <wp:posOffset>-297180</wp:posOffset>
          </wp:positionV>
          <wp:extent cx="1076325" cy="9239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2B67685" wp14:editId="3CEDA46F">
          <wp:simplePos x="0" y="0"/>
          <wp:positionH relativeFrom="column">
            <wp:posOffset>5320665</wp:posOffset>
          </wp:positionH>
          <wp:positionV relativeFrom="paragraph">
            <wp:posOffset>-259080</wp:posOffset>
          </wp:positionV>
          <wp:extent cx="933450" cy="885825"/>
          <wp:effectExtent l="0" t="0" r="0" b="9525"/>
          <wp:wrapSquare wrapText="bothSides"/>
          <wp:docPr id="1" name="Imagem 1" descr="Descrição: http://www.possomais.com.br/wp-content/uploads/2013/01/lmzpjj816olwj9eh1on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Descrição: http://www.possomais.com.br/wp-content/uploads/2013/01/lmzpjj816olwj9eh1onr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aps/>
      </w:rPr>
      <w:t>Faculdade Cambury</w:t>
    </w:r>
  </w:p>
  <w:p w:rsidR="00574F01" w:rsidRPr="004F3384" w:rsidRDefault="00574F01" w:rsidP="00574F01">
    <w:pPr>
      <w:pStyle w:val="Cabealho"/>
      <w:tabs>
        <w:tab w:val="left" w:pos="1334"/>
        <w:tab w:val="center" w:pos="3544"/>
        <w:tab w:val="center" w:pos="4890"/>
      </w:tabs>
      <w:jc w:val="center"/>
      <w:rPr>
        <w:b/>
        <w:caps/>
        <w:sz w:val="28"/>
        <w:szCs w:val="28"/>
      </w:rPr>
    </w:pPr>
    <w:r w:rsidRPr="004F3384">
      <w:rPr>
        <w:b/>
        <w:sz w:val="28"/>
        <w:szCs w:val="28"/>
      </w:rPr>
      <w:t>Escola de direito</w:t>
    </w:r>
  </w:p>
  <w:p w:rsidR="00574F01" w:rsidRPr="004F3384" w:rsidRDefault="00574F01" w:rsidP="00574F01">
    <w:pPr>
      <w:pStyle w:val="CM2"/>
      <w:tabs>
        <w:tab w:val="left" w:pos="225"/>
        <w:tab w:val="left" w:pos="540"/>
        <w:tab w:val="center" w:pos="4252"/>
      </w:tabs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4F3384">
      <w:rPr>
        <w:rFonts w:ascii="Times New Roman" w:hAnsi="Times New Roman" w:cs="Times New Roman"/>
        <w:b/>
        <w:sz w:val="28"/>
        <w:szCs w:val="28"/>
      </w:rPr>
      <w:t>Núcleo de Prática Jurídica – NPJ</w:t>
    </w:r>
  </w:p>
  <w:p w:rsidR="00574F01" w:rsidRPr="004F3384" w:rsidRDefault="00574F01" w:rsidP="00574F01">
    <w:pPr>
      <w:pStyle w:val="CM2"/>
      <w:tabs>
        <w:tab w:val="left" w:pos="225"/>
        <w:tab w:val="left" w:pos="540"/>
        <w:tab w:val="center" w:pos="4252"/>
      </w:tabs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4F3384">
      <w:rPr>
        <w:rFonts w:ascii="Times New Roman" w:hAnsi="Times New Roman" w:cs="Times New Roman"/>
        <w:b/>
        <w:sz w:val="28"/>
        <w:szCs w:val="28"/>
      </w:rPr>
      <w:t>Coordenação de NPJ e Estágio</w:t>
    </w:r>
  </w:p>
  <w:p w:rsidR="00574F01" w:rsidRPr="006A4464" w:rsidRDefault="00574F01" w:rsidP="00574F01">
    <w:pPr>
      <w:pStyle w:val="CM2"/>
      <w:tabs>
        <w:tab w:val="left" w:pos="225"/>
        <w:tab w:val="left" w:pos="540"/>
        <w:tab w:val="center" w:pos="4252"/>
      </w:tabs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6A4464">
      <w:rPr>
        <w:rFonts w:ascii="Times New Roman" w:hAnsi="Times New Roman" w:cs="Times New Roman"/>
        <w:b/>
        <w:sz w:val="28"/>
        <w:szCs w:val="28"/>
      </w:rPr>
      <w:t>Coordenação dos Trabalhos de Conclusão de Curso</w:t>
    </w:r>
  </w:p>
  <w:p w:rsidR="007A4EF0" w:rsidRDefault="00574F01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C2"/>
    <w:rsid w:val="00007CC2"/>
    <w:rsid w:val="00030E97"/>
    <w:rsid w:val="000361CF"/>
    <w:rsid w:val="00047A65"/>
    <w:rsid w:val="00080B22"/>
    <w:rsid w:val="000C3A01"/>
    <w:rsid w:val="000C628E"/>
    <w:rsid w:val="000C6CF7"/>
    <w:rsid w:val="000E027A"/>
    <w:rsid w:val="001132C4"/>
    <w:rsid w:val="00124151"/>
    <w:rsid w:val="00141507"/>
    <w:rsid w:val="001474C9"/>
    <w:rsid w:val="00182CB0"/>
    <w:rsid w:val="001A6FD0"/>
    <w:rsid w:val="001B2CCF"/>
    <w:rsid w:val="001B4047"/>
    <w:rsid w:val="002159CD"/>
    <w:rsid w:val="002452C2"/>
    <w:rsid w:val="002703D5"/>
    <w:rsid w:val="002813CE"/>
    <w:rsid w:val="002951F3"/>
    <w:rsid w:val="002C7C55"/>
    <w:rsid w:val="002E467E"/>
    <w:rsid w:val="002E5872"/>
    <w:rsid w:val="002E6BC2"/>
    <w:rsid w:val="0033174B"/>
    <w:rsid w:val="003501ED"/>
    <w:rsid w:val="003556A6"/>
    <w:rsid w:val="0038196A"/>
    <w:rsid w:val="00397047"/>
    <w:rsid w:val="003A04F7"/>
    <w:rsid w:val="003C2A40"/>
    <w:rsid w:val="00411E07"/>
    <w:rsid w:val="00416893"/>
    <w:rsid w:val="004336C4"/>
    <w:rsid w:val="004365DC"/>
    <w:rsid w:val="0045141D"/>
    <w:rsid w:val="00464153"/>
    <w:rsid w:val="00472603"/>
    <w:rsid w:val="00474E6D"/>
    <w:rsid w:val="00493868"/>
    <w:rsid w:val="00494FD8"/>
    <w:rsid w:val="004A6CD4"/>
    <w:rsid w:val="004C4FDE"/>
    <w:rsid w:val="004F7453"/>
    <w:rsid w:val="00501DD9"/>
    <w:rsid w:val="00534E22"/>
    <w:rsid w:val="005526AA"/>
    <w:rsid w:val="00574F01"/>
    <w:rsid w:val="005B2769"/>
    <w:rsid w:val="005E4F84"/>
    <w:rsid w:val="005E7983"/>
    <w:rsid w:val="005F0BF6"/>
    <w:rsid w:val="0063005A"/>
    <w:rsid w:val="00633977"/>
    <w:rsid w:val="00646005"/>
    <w:rsid w:val="00646D01"/>
    <w:rsid w:val="006510EC"/>
    <w:rsid w:val="006539A6"/>
    <w:rsid w:val="00680461"/>
    <w:rsid w:val="00717AE5"/>
    <w:rsid w:val="00724C36"/>
    <w:rsid w:val="00733EED"/>
    <w:rsid w:val="00741F91"/>
    <w:rsid w:val="007A4EF0"/>
    <w:rsid w:val="007A6E19"/>
    <w:rsid w:val="007B0F24"/>
    <w:rsid w:val="007C15A9"/>
    <w:rsid w:val="007D3E10"/>
    <w:rsid w:val="007D5678"/>
    <w:rsid w:val="007E0749"/>
    <w:rsid w:val="00811C29"/>
    <w:rsid w:val="00835DF8"/>
    <w:rsid w:val="00845A90"/>
    <w:rsid w:val="00866884"/>
    <w:rsid w:val="008D5D92"/>
    <w:rsid w:val="008F2550"/>
    <w:rsid w:val="008F4CD3"/>
    <w:rsid w:val="008F5F0B"/>
    <w:rsid w:val="00931343"/>
    <w:rsid w:val="0095581A"/>
    <w:rsid w:val="00964D2C"/>
    <w:rsid w:val="009A32B5"/>
    <w:rsid w:val="009A46F1"/>
    <w:rsid w:val="009B1445"/>
    <w:rsid w:val="009B4E0B"/>
    <w:rsid w:val="009D551C"/>
    <w:rsid w:val="009D7B92"/>
    <w:rsid w:val="009E5B21"/>
    <w:rsid w:val="00A00C62"/>
    <w:rsid w:val="00A10350"/>
    <w:rsid w:val="00A72EEA"/>
    <w:rsid w:val="00AB5DCC"/>
    <w:rsid w:val="00AD5B85"/>
    <w:rsid w:val="00AE5537"/>
    <w:rsid w:val="00B01E41"/>
    <w:rsid w:val="00B04CB7"/>
    <w:rsid w:val="00B13C7D"/>
    <w:rsid w:val="00B805F1"/>
    <w:rsid w:val="00B84AFF"/>
    <w:rsid w:val="00BE1059"/>
    <w:rsid w:val="00C145E2"/>
    <w:rsid w:val="00C21B90"/>
    <w:rsid w:val="00C22BE0"/>
    <w:rsid w:val="00C604FD"/>
    <w:rsid w:val="00C65E2F"/>
    <w:rsid w:val="00C83DCC"/>
    <w:rsid w:val="00CA4AB6"/>
    <w:rsid w:val="00CC0DA9"/>
    <w:rsid w:val="00CC477D"/>
    <w:rsid w:val="00CC576B"/>
    <w:rsid w:val="00D10BCD"/>
    <w:rsid w:val="00D14F67"/>
    <w:rsid w:val="00D22D5E"/>
    <w:rsid w:val="00D36F19"/>
    <w:rsid w:val="00D429B2"/>
    <w:rsid w:val="00D55800"/>
    <w:rsid w:val="00D77E18"/>
    <w:rsid w:val="00DA4AA7"/>
    <w:rsid w:val="00DE3A22"/>
    <w:rsid w:val="00DF3389"/>
    <w:rsid w:val="00E10713"/>
    <w:rsid w:val="00E338B1"/>
    <w:rsid w:val="00E432FA"/>
    <w:rsid w:val="00E47BC7"/>
    <w:rsid w:val="00E7345C"/>
    <w:rsid w:val="00E86C34"/>
    <w:rsid w:val="00E91103"/>
    <w:rsid w:val="00F341DE"/>
    <w:rsid w:val="00F35C11"/>
    <w:rsid w:val="00F7470A"/>
    <w:rsid w:val="00F8590E"/>
    <w:rsid w:val="00F93C67"/>
    <w:rsid w:val="00FA5687"/>
    <w:rsid w:val="00FB3868"/>
    <w:rsid w:val="00FB7BB6"/>
    <w:rsid w:val="00FC08EB"/>
    <w:rsid w:val="00FD1AF2"/>
    <w:rsid w:val="00FD7BFB"/>
    <w:rsid w:val="00FE02AF"/>
    <w:rsid w:val="00F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2C147"/>
  <w15:docId w15:val="{6BBDC855-4516-4C82-AF0F-F762FF49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6BC2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D5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C0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E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E6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BC2"/>
  </w:style>
  <w:style w:type="character" w:customStyle="1" w:styleId="Ttulo2Char">
    <w:name w:val="Título 2 Char"/>
    <w:basedOn w:val="Fontepargpadro"/>
    <w:link w:val="Ttulo2"/>
    <w:uiPriority w:val="9"/>
    <w:rsid w:val="00FC08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C08EB"/>
  </w:style>
  <w:style w:type="paragraph" w:styleId="NormalWeb">
    <w:name w:val="Normal (Web)"/>
    <w:basedOn w:val="Normal"/>
    <w:uiPriority w:val="99"/>
    <w:semiHidden/>
    <w:unhideWhenUsed/>
    <w:rsid w:val="004A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D55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D551C"/>
    <w:rPr>
      <w:color w:val="808080"/>
      <w:shd w:val="clear" w:color="auto" w:fill="E6E6E6"/>
    </w:rPr>
  </w:style>
  <w:style w:type="character" w:customStyle="1" w:styleId="a1">
    <w:name w:val="a1"/>
    <w:basedOn w:val="Fontepargpadro"/>
    <w:rsid w:val="00C145E2"/>
    <w:rPr>
      <w:rFonts w:ascii="ff12" w:hAnsi="ff12" w:hint="default"/>
      <w:b w:val="0"/>
      <w:bCs w:val="0"/>
      <w:i w:val="0"/>
      <w:iCs w:val="0"/>
      <w:bdr w:val="none" w:sz="0" w:space="0" w:color="auto" w:frame="1"/>
    </w:rPr>
  </w:style>
  <w:style w:type="paragraph" w:styleId="Rodap">
    <w:name w:val="footer"/>
    <w:basedOn w:val="Normal"/>
    <w:link w:val="RodapChar"/>
    <w:uiPriority w:val="99"/>
    <w:unhideWhenUsed/>
    <w:rsid w:val="0057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4F01"/>
  </w:style>
  <w:style w:type="paragraph" w:styleId="Textodebalo">
    <w:name w:val="Balloon Text"/>
    <w:basedOn w:val="Normal"/>
    <w:link w:val="TextodebaloChar"/>
    <w:uiPriority w:val="99"/>
    <w:semiHidden/>
    <w:unhideWhenUsed/>
    <w:rsid w:val="0057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F01"/>
    <w:rPr>
      <w:rFonts w:ascii="Tahoma" w:hAnsi="Tahoma" w:cs="Tahoma"/>
      <w:sz w:val="16"/>
      <w:szCs w:val="16"/>
    </w:rPr>
  </w:style>
  <w:style w:type="paragraph" w:customStyle="1" w:styleId="CM2">
    <w:name w:val="CM2"/>
    <w:basedOn w:val="Normal"/>
    <w:rsid w:val="00574F01"/>
    <w:pPr>
      <w:widowControl w:val="0"/>
      <w:suppressAutoHyphens/>
      <w:spacing w:after="0" w:line="100" w:lineRule="atLeast"/>
    </w:pPr>
    <w:rPr>
      <w:rFonts w:ascii="Arial" w:eastAsia="Times New Roman" w:hAnsi="Arial" w:cs="Arial"/>
      <w:sz w:val="24"/>
      <w:szCs w:val="24"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E338B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D5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245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E810-1342-49AB-86C5-4F447661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 Raquel</dc:creator>
  <cp:lastModifiedBy>Jônatas Neomaster Summers</cp:lastModifiedBy>
  <cp:revision>2</cp:revision>
  <dcterms:created xsi:type="dcterms:W3CDTF">2019-10-08T03:12:00Z</dcterms:created>
  <dcterms:modified xsi:type="dcterms:W3CDTF">2019-10-08T03:12:00Z</dcterms:modified>
</cp:coreProperties>
</file>