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F2A44"/>
          <w:sz w:val="44"/>
          <w:szCs w:val="44"/>
        </w:rPr>
        <w:t xml:space="preserve">Dropout Risk Model — Build Walkthrough</w:t>
      </w:r>
    </w:p>
    <w:p>
      <w:pPr>
        <w:spacing w:after="360"/>
      </w:pPr>
      <w:r>
        <w:rPr>
          <w:i/>
          <w:iCs/>
          <w:color w:val="5B6B60"/>
          <w:sz w:val="22"/>
          <w:szCs w:val="22"/>
        </w:rPr>
        <w:t xml:space="preserve">RESK401 Group 13 — Using Random Forest to Trigger Targeted Interventions for First-Year Undergraduates</w:t>
      </w:r>
    </w:p>
    <w:p>
      <w:pPr>
        <w:spacing w:after="160"/>
      </w:pPr>
      <w:r>
        <w:rPr>
          <w:sz w:val="22"/>
          <w:szCs w:val="22"/>
        </w:rPr>
        <w:t xml:space="preserve">This document walks through every step of building the module-level dropout risk model, and names exactly which file and function is responsible for each step — so each decision can be explained and defended, not just demonstrated.</w:t>
      </w:r>
    </w:p>
    <w:p>
      <w:pPr>
        <w:pStyle w:val="Heading2"/>
        <w:spacing w:after="100" w:before="200"/>
      </w:pPr>
      <w:r>
        <w:rPr>
          <w:b/>
          <w:bCs/>
          <w:color w:val="1F2A44"/>
          <w:sz w:val="22"/>
          <w:szCs w:val="22"/>
        </w:rPr>
        <w:t xml:space="preserve">Pipeline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F3EA"/>
                <w:sz w:val="19"/>
                <w:szCs w:val="19"/>
              </w:rPr>
              <w:t xml:space="preserve">Step</w:t>
            </w:r>
          </w:p>
        </w:tc>
        <w:tc>
          <w:tcPr>
            <w:tcW w:type="pct" w:w="30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F3EA"/>
                <w:sz w:val="19"/>
                <w:szCs w:val="19"/>
              </w:rPr>
              <w:t xml:space="preserve">File</w:t>
            </w:r>
          </w:p>
        </w:tc>
        <w:tc>
          <w:tcPr>
            <w:tcW w:type="pct" w:w="32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F3EA"/>
                <w:sz w:val="19"/>
                <w:szCs w:val="19"/>
              </w:rPr>
              <w:t xml:space="preserve">Function / class</w:t>
            </w:r>
          </w:p>
        </w:tc>
      </w:tr>
      <w:tr>
        <w:trPr>
          <w:tblHeader w:val="false"/>
        </w:trPr>
        <w:tc>
          <w:tcPr>
            <w:tcW w:type="pct" w:w="38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4"/>
                <w:sz w:val="19"/>
                <w:szCs w:val="19"/>
              </w:rPr>
              <w:t xml:space="preserve">1. Module-level framing</w:t>
            </w:r>
          </w:p>
        </w:tc>
        <w:tc>
          <w:tcPr>
            <w:tcW w:type="pct" w:w="30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prepare_data.py</w:t>
            </w:r>
          </w:p>
        </w:tc>
        <w:tc>
          <w:tcPr>
            <w:tcW w:type="pct" w:w="32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Module docstring + groupby(['code_module','code_presentation'])</w:t>
            </w:r>
          </w:p>
        </w:tc>
      </w:tr>
      <w:tr>
        <w:trPr>
          <w:tblHeader w:val="false"/>
        </w:trPr>
        <w:tc>
          <w:tcPr>
            <w:tcW w:type="pct" w:w="38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4"/>
                <w:sz w:val="19"/>
                <w:szCs w:val="19"/>
              </w:rPr>
              <w:t xml:space="preserve">2. Load raw OULAD data</w:t>
            </w:r>
          </w:p>
        </w:tc>
        <w:tc>
          <w:tcPr>
            <w:tcW w:type="pct" w:w="30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prepare_data.py</w:t>
            </w:r>
          </w:p>
        </w:tc>
        <w:tc>
          <w:tcPr>
            <w:tcW w:type="pct" w:w="32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load_raw()</w:t>
            </w:r>
          </w:p>
        </w:tc>
      </w:tr>
      <w:tr>
        <w:trPr>
          <w:tblHeader w:val="false"/>
        </w:trPr>
        <w:tc>
          <w:tcPr>
            <w:tcW w:type="pct" w:w="38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4"/>
                <w:sz w:val="19"/>
                <w:szCs w:val="19"/>
              </w:rPr>
              <w:t xml:space="preserve">3. Build the target variable</w:t>
            </w:r>
          </w:p>
        </w:tc>
        <w:tc>
          <w:tcPr>
            <w:tcW w:type="pct" w:w="30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prepare_data.py</w:t>
            </w:r>
          </w:p>
        </w:tc>
        <w:tc>
          <w:tcPr>
            <w:tcW w:type="pct" w:w="32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build_cohort_table(), add_historical_features()</w:t>
            </w:r>
          </w:p>
        </w:tc>
      </w:tr>
      <w:tr>
        <w:trPr>
          <w:tblHeader w:val="false"/>
        </w:trPr>
        <w:tc>
          <w:tcPr>
            <w:tcW w:type="pct" w:w="38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4"/>
                <w:sz w:val="19"/>
                <w:szCs w:val="19"/>
              </w:rPr>
              <w:t xml:space="preserve">4. Avoid leakage (historical features)</w:t>
            </w:r>
          </w:p>
        </w:tc>
        <w:tc>
          <w:tcPr>
            <w:tcW w:type="pct" w:w="30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prepare_data.py</w:t>
            </w:r>
          </w:p>
        </w:tc>
        <w:tc>
          <w:tcPr>
            <w:tcW w:type="pct" w:w="32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add_historical_features() — per-module loop</w:t>
            </w:r>
          </w:p>
        </w:tc>
      </w:tr>
      <w:tr>
        <w:trPr>
          <w:tblHeader w:val="false"/>
        </w:trPr>
        <w:tc>
          <w:tcPr>
            <w:tcW w:type="pct" w:w="38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4"/>
                <w:sz w:val="19"/>
                <w:szCs w:val="19"/>
              </w:rPr>
              <w:t xml:space="preserve">5. Model choice (Random Forest)</w:t>
            </w:r>
          </w:p>
        </w:tc>
        <w:tc>
          <w:tcPr>
            <w:tcW w:type="pct" w:w="30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train_model.py</w:t>
            </w:r>
          </w:p>
        </w:tc>
        <w:tc>
          <w:tcPr>
            <w:tcW w:type="pct" w:w="32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RandomForestClassifier(...) in train_and_evaluate()</w:t>
            </w:r>
          </w:p>
        </w:tc>
      </w:tr>
      <w:tr>
        <w:trPr>
          <w:tblHeader w:val="false"/>
        </w:trPr>
        <w:tc>
          <w:tcPr>
            <w:tcW w:type="pct" w:w="38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4"/>
                <w:sz w:val="19"/>
                <w:szCs w:val="19"/>
              </w:rPr>
              <w:t xml:space="preserve">6. Stratified k-fold CV</w:t>
            </w:r>
          </w:p>
        </w:tc>
        <w:tc>
          <w:tcPr>
            <w:tcW w:type="pct" w:w="30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train_model.py</w:t>
            </w:r>
          </w:p>
        </w:tc>
        <w:tc>
          <w:tcPr>
            <w:tcW w:type="pct" w:w="32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StratifiedKFold, cross_validate()</w:t>
            </w:r>
          </w:p>
        </w:tc>
      </w:tr>
      <w:tr>
        <w:trPr>
          <w:tblHeader w:val="false"/>
        </w:trPr>
        <w:tc>
          <w:tcPr>
            <w:tcW w:type="pct" w:w="38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4"/>
                <w:sz w:val="19"/>
                <w:szCs w:val="19"/>
              </w:rPr>
              <w:t xml:space="preserve">7. Reading results</w:t>
            </w:r>
          </w:p>
        </w:tc>
        <w:tc>
          <w:tcPr>
            <w:tcW w:type="pct" w:w="30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train_model.py</w:t>
            </w:r>
          </w:p>
        </w:tc>
        <w:tc>
          <w:tcPr>
            <w:tcW w:type="pct" w:w="32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classification_report(), confusion_matrix(), feature_importances_</w:t>
            </w:r>
          </w:p>
        </w:tc>
      </w:tr>
      <w:tr>
        <w:trPr>
          <w:tblHeader w:val="false"/>
        </w:trPr>
        <w:tc>
          <w:tcPr>
            <w:tcW w:type="pct" w:w="38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4"/>
                <w:sz w:val="19"/>
                <w:szCs w:val="19"/>
              </w:rPr>
              <w:t xml:space="preserve">8. Precision / recall / F1</w:t>
            </w:r>
          </w:p>
        </w:tc>
        <w:tc>
          <w:tcPr>
            <w:tcW w:type="pct" w:w="30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train_model.py</w:t>
            </w:r>
          </w:p>
        </w:tc>
        <w:tc>
          <w:tcPr>
            <w:tcW w:type="pct" w:w="32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scoring=[...] list, class_weight="balanced"</w:t>
            </w:r>
          </w:p>
        </w:tc>
      </w:tr>
      <w:tr>
        <w:trPr>
          <w:tblHeader w:val="false"/>
        </w:trPr>
        <w:tc>
          <w:tcPr>
            <w:tcW w:type="pct" w:w="38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4"/>
                <w:sz w:val="19"/>
                <w:szCs w:val="19"/>
              </w:rPr>
              <w:t xml:space="preserve">9. Live system</w:t>
            </w:r>
          </w:p>
        </w:tc>
        <w:tc>
          <w:tcPr>
            <w:tcW w:type="pct" w:w="30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app/ml/model_service.py
app/api/routes.py</w:t>
            </w:r>
          </w:p>
        </w:tc>
        <w:tc>
          <w:tcPr>
            <w:tcW w:type="pct" w:w="32%"/>
            <w:tcBorders>
              <w:top w:val="single" w:color="D6DBCE" w:sz="2"/>
              <w:left w:val="single" w:color="D6DBCE" w:sz="2"/>
              <w:bottom w:val="single" w:color="D6DBCE" w:sz="2"/>
              <w:right w:val="single" w:color="D6DBCE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24"/>
                <w:sz w:val="19"/>
                <w:szCs w:val="19"/>
              </w:rPr>
              <w:t xml:space="preserve">predict(), /api/predict, /api/flagged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A23E2F"/>
          <w:sz w:val="26"/>
          <w:szCs w:val="26"/>
        </w:rPr>
        <w:t xml:space="preserve">1.  </w:t>
      </w:r>
      <w:r>
        <w:rPr>
          <w:b/>
          <w:bCs/>
          <w:color w:val="1F2A44"/>
          <w:sz w:val="26"/>
          <w:szCs w:val="26"/>
        </w:rPr>
        <w:t xml:space="preserve">Why module-level, not individual-student</w:t>
      </w:r>
    </w:p>
    <w:p>
      <w:pPr>
        <w:spacing w:after="160"/>
      </w:pPr>
      <w:r>
        <w:rPr>
          <w:sz w:val="22"/>
          <w:szCs w:val="22"/>
        </w:rPr>
        <w:t xml:space="preserve">The SLR's gap analysis found that only about 15–16% of the 25 reviewed studies use historical or longitudinal cohort data at all, and none of those use it to flag modules — they all score individual students from their own current data. This model predicts whether a module is likely to be persistently difficult for its next cohort, not whether a specific student will drop out. That reframing is the project's core contribution, so it should be the first thing explained, before being asked.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DBCE" w:sz="4"/>
              <w:left w:val="single" w:color="D6DBCE" w:sz="4"/>
              <w:bottom w:val="single" w:color="D6DBCE" w:sz="4"/>
              <w:right w:val="single" w:color="D6DBCE" w:sz="4"/>
            </w:tcBorders>
            <w:shd w:fill="EE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A23E2F"/>
                <w:sz w:val="20"/>
                <w:szCs w:val="20"/>
              </w:rPr>
              <w:t xml:space="preserve">Responsible component:  </w:t>
            </w:r>
            <w:r>
              <w:rPr>
                <w:rFonts w:ascii="Consolas" w:cs="Consolas" w:eastAsia="Consolas" w:hAnsi="Consolas"/>
                <w:color w:val="1F2A24"/>
                <w:sz w:val="20"/>
                <w:szCs w:val="20"/>
              </w:rPr>
              <w:t xml:space="preserve">prepare_data.py</w:t>
            </w:r>
          </w:p>
          <w:p>
            <w:r>
              <w:rPr>
                <w:i/>
                <w:iCs/>
                <w:color w:val="5B6B60"/>
                <w:sz w:val="20"/>
                <w:szCs w:val="20"/>
              </w:rPr>
              <w:t xml:space="preserve">Reflected in the module docstring and the groupby(['code_module', 'code_presentation']) aggregation — every row downstream is a module-cohort, never an individual student.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A23E2F"/>
          <w:sz w:val="26"/>
          <w:szCs w:val="26"/>
        </w:rPr>
        <w:t xml:space="preserve">2.  </w:t>
      </w:r>
      <w:r>
        <w:rPr>
          <w:b/>
          <w:bCs/>
          <w:color w:val="1F2A44"/>
          <w:sz w:val="26"/>
          <w:szCs w:val="26"/>
        </w:rPr>
        <w:t xml:space="preserve">Data source and why</w:t>
      </w:r>
    </w:p>
    <w:p>
      <w:pPr>
        <w:spacing w:after="160"/>
      </w:pPr>
      <w:r>
        <w:rPr>
          <w:sz w:val="22"/>
          <w:szCs w:val="22"/>
        </w:rPr>
        <w:t xml:space="preserve">OULAD's studentInfo.csv (32,594 students) provides final_result (Pass / Fail / Withdrawn / Distinction), and courses.csv provides module_presentation_length. Grouping by (code_module, code_presentation) yields 22 module-cohorts across 7 modules, each with 2–4 presentations spanning 2013–2014. This repeated-cohort structure is what made OULAD usable — one of few public datasets with genuine multiple presentations per module, which historical, multi-cohort analysis requires.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DBCE" w:sz="4"/>
              <w:left w:val="single" w:color="D6DBCE" w:sz="4"/>
              <w:bottom w:val="single" w:color="D6DBCE" w:sz="4"/>
              <w:right w:val="single" w:color="D6DBCE" w:sz="4"/>
            </w:tcBorders>
            <w:shd w:fill="EE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A23E2F"/>
                <w:sz w:val="20"/>
                <w:szCs w:val="20"/>
              </w:rPr>
              <w:t xml:space="preserve">Responsible component:  </w:t>
            </w:r>
            <w:r>
              <w:rPr>
                <w:rFonts w:ascii="Consolas" w:cs="Consolas" w:eastAsia="Consolas" w:hAnsi="Consolas"/>
                <w:color w:val="1F2A24"/>
                <w:sz w:val="20"/>
                <w:szCs w:val="20"/>
              </w:rPr>
              <w:t xml:space="preserve">prepare_data.py</w:t>
            </w:r>
          </w:p>
          <w:p>
            <w:r>
              <w:rPr>
                <w:i/>
                <w:iCs/>
                <w:color w:val="5B6B60"/>
                <w:sz w:val="20"/>
                <w:szCs w:val="20"/>
              </w:rPr>
              <w:t xml:space="preserve">load_raw() — reads studentInfo.csv and courses.csv from DATA_DIR.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Be ready to state plainly that OULAD is a UK Open University dataset, not DUT's own — it is used as a structural proxy because DUT-specific multi-year module data likely was not accessible.</w:t>
      </w:r>
    </w:p>
    <w:p>
      <w:pPr>
        <w:pStyle w:val="Heading1"/>
        <w:spacing w:after="140" w:before="360"/>
      </w:pPr>
      <w:r>
        <w:rPr>
          <w:b/>
          <w:bCs/>
          <w:color w:val="A23E2F"/>
          <w:sz w:val="26"/>
          <w:szCs w:val="26"/>
        </w:rPr>
        <w:t xml:space="preserve">3.  </w:t>
      </w:r>
      <w:r>
        <w:rPr>
          <w:b/>
          <w:bCs/>
          <w:color w:val="1F2A44"/>
          <w:sz w:val="26"/>
          <w:szCs w:val="26"/>
        </w:rPr>
        <w:t xml:space="preserve">Building the target variable</w:t>
      </w:r>
    </w:p>
    <w:p>
      <w:pPr>
        <w:spacing w:after="160"/>
      </w:pPr>
      <w:r>
        <w:rPr>
          <w:sz w:val="22"/>
          <w:szCs w:val="22"/>
        </w:rPr>
        <w:t xml:space="preserve">For each cohort, difficulty_rate is the proportion of students who Failed or Withdrew. is_difficult is then set to 1 if that rate is above a threshold.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1F2A24"/>
          <w:sz w:val="20"/>
          <w:szCs w:val="20"/>
        </w:rPr>
        <w:t xml:space="preserve">Why the median, not a fixed cutoff like 40%: </w:t>
      </w:r>
      <w:r>
        <w:rPr>
          <w:sz w:val="22"/>
          <w:szCs w:val="22"/>
        </w:rPr>
        <w:t xml:space="preserve">a fixed threshold labelled 19 of 22 cohorts “difficult,” leaving nothing for a classifier to discriminate. With only 22 data points, a fixed threshold is too sensitive to where it happens to fall. Using the dataset's own median (0.521) gives a balanced 11/11 split.</w:t>
      </w:r>
    </w:p>
    <w:p>
      <w:pPr>
        <w:spacing w:after="160"/>
      </w:pPr>
      <w:r>
        <w:rPr>
          <w:sz w:val="22"/>
          <w:szCs w:val="22"/>
        </w:rPr>
        <w:t xml:space="preserve">The tradeoff worth naming directly: “difficult” is defined relative to this sample, not against an absolute academic standard. That is a legitimate methodological choice, but one to state proactively rather than have a panelist point out.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DBCE" w:sz="4"/>
              <w:left w:val="single" w:color="D6DBCE" w:sz="4"/>
              <w:bottom w:val="single" w:color="D6DBCE" w:sz="4"/>
              <w:right w:val="single" w:color="D6DBCE" w:sz="4"/>
            </w:tcBorders>
            <w:shd w:fill="EE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A23E2F"/>
                <w:sz w:val="20"/>
                <w:szCs w:val="20"/>
              </w:rPr>
              <w:t xml:space="preserve">Responsible component:  </w:t>
            </w:r>
            <w:r>
              <w:rPr>
                <w:rFonts w:ascii="Consolas" w:cs="Consolas" w:eastAsia="Consolas" w:hAnsi="Consolas"/>
                <w:color w:val="1F2A24"/>
                <w:sz w:val="20"/>
                <w:szCs w:val="20"/>
              </w:rPr>
              <w:t xml:space="preserve">prepare_data.py</w:t>
            </w:r>
          </w:p>
          <w:p>
            <w:r>
              <w:rPr>
                <w:i/>
                <w:iCs/>
                <w:color w:val="5B6B60"/>
                <w:sz w:val="20"/>
                <w:szCs w:val="20"/>
              </w:rPr>
              <w:t xml:space="preserve">build_cohort_table() computes difficulty_rate; add_historical_features() sets is_difficult from the dataset median via result["difficulty_rate"].median().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A23E2F"/>
          <w:sz w:val="26"/>
          <w:szCs w:val="26"/>
        </w:rPr>
        <w:t xml:space="preserve">4.  </w:t>
      </w:r>
      <w:r>
        <w:rPr>
          <w:b/>
          <w:bCs/>
          <w:color w:val="1F2A44"/>
          <w:sz w:val="26"/>
          <w:szCs w:val="26"/>
        </w:rPr>
        <w:t xml:space="preserve">The most important design decision: avoiding leakage</w:t>
      </w:r>
    </w:p>
    <w:p>
      <w:pPr>
        <w:spacing w:after="160"/>
      </w:pPr>
      <w:r>
        <w:rPr>
          <w:sz w:val="22"/>
          <w:szCs w:val="22"/>
        </w:rPr>
        <w:t xml:space="preserve">This is the part most likely to be probed hardest, so it needs to be understood, not just recited.</w:t>
      </w:r>
    </w:p>
    <w:p>
      <w:pPr>
        <w:spacing w:after="160"/>
      </w:pPr>
      <w:r>
        <w:rPr>
          <w:sz w:val="22"/>
          <w:szCs w:val="22"/>
        </w:rPr>
        <w:t xml:space="preserve">Predicting a cohort's difficulty using that same cohort's own outcome-derived statistics leaks the answer into the input — a fundamental data science error. Features are therefore split into two kinds: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Known-in-advance features: </w:t>
      </w:r>
      <w:r>
        <w:rPr>
          <w:sz w:val="22"/>
          <w:szCs w:val="22"/>
        </w:rPr>
        <w:t xml:space="preserve">avg_studied_credits, avg_prev_attempts, avg_imd (deprivation band), disability_rate, enrollment_count, module_presentation_length — all knowable about a cohort's composition before results come 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Historical features: </w:t>
      </w:r>
      <w:r>
        <w:rPr>
          <w:sz w:val="22"/>
          <w:szCs w:val="22"/>
        </w:rPr>
        <w:t xml:space="preserve">hist_avg_difficulty, hist_last_difficulty, hist_avg_enrollment, hist_n_prior_cohorts — computed only from that module's presentations before the current one. This mirrors real deployment: flagging a module before its new cohort's results exist, using only what happened in earlier presentations.</w:t>
      </w:r>
    </w:p>
    <w:p>
      <w:pPr>
        <w:spacing w:after="160"/>
      </w:pPr>
      <w:r>
        <w:rPr>
          <w:sz w:val="22"/>
          <w:szCs w:val="22"/>
        </w:rPr>
        <w:t xml:space="preserve">Consequence: a module's very first observed presentation has no prior history, so those 7 rows are dropped, leaving 15 usable rows for training. If asked why only 15 samples, this is the answer — a direct, defensible consequence of doing leakage-avoidance properly, not an oversight.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DBCE" w:sz="4"/>
              <w:left w:val="single" w:color="D6DBCE" w:sz="4"/>
              <w:bottom w:val="single" w:color="D6DBCE" w:sz="4"/>
              <w:right w:val="single" w:color="D6DBCE" w:sz="4"/>
            </w:tcBorders>
            <w:shd w:fill="EE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A23E2F"/>
                <w:sz w:val="20"/>
                <w:szCs w:val="20"/>
              </w:rPr>
              <w:t xml:space="preserve">Responsible component:  </w:t>
            </w:r>
            <w:r>
              <w:rPr>
                <w:rFonts w:ascii="Consolas" w:cs="Consolas" w:eastAsia="Consolas" w:hAnsi="Consolas"/>
                <w:color w:val="1F2A24"/>
                <w:sz w:val="20"/>
                <w:szCs w:val="20"/>
              </w:rPr>
              <w:t xml:space="preserve">prepare_data.py</w:t>
            </w:r>
          </w:p>
          <w:p>
            <w:r>
              <w:rPr>
                <w:i/>
                <w:iCs/>
                <w:color w:val="5B6B60"/>
                <w:sz w:val="20"/>
                <w:szCs w:val="20"/>
              </w:rPr>
              <w:t xml:space="preserve">add_historical_features() — the per-module loop that appends each cohort's difficulty_rate to prior_difficulty_rates only AFTER computing that row's hist_* features, so a cohort never sees its own outcome.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A23E2F"/>
          <w:sz w:val="26"/>
          <w:szCs w:val="26"/>
        </w:rPr>
        <w:t xml:space="preserve">5.  </w:t>
      </w:r>
      <w:r>
        <w:rPr>
          <w:b/>
          <w:bCs/>
          <w:color w:val="1F2A44"/>
          <w:sz w:val="26"/>
          <w:szCs w:val="26"/>
        </w:rPr>
        <w:t xml:space="preserve">Model choice: Random Forest</w:t>
      </w:r>
    </w:p>
    <w:p>
      <w:pPr>
        <w:spacing w:after="160"/>
      </w:pPr>
      <w:r>
        <w:rPr>
          <w:sz w:val="22"/>
          <w:szCs w:val="22"/>
        </w:rPr>
        <w:t xml:space="preserve">Random Forest was specified in the proposal, but the fuller justification: it handles a small, mixed-scale feature set (rates, counts, averages) without needing feature scaling; it gives feature importances “for free,” which matters for the oral — pointing to why a module gets flagged, not just that it did; and it is more robust to overfitting on tiny samples than a single decision tree, since it averages many trees trained on bootstrap samples.</w:t>
      </w:r>
    </w:p>
    <w:p>
      <w:pPr>
        <w:pStyle w:val="Heading2"/>
        <w:spacing w:after="100" w:before="200"/>
      </w:pPr>
      <w:r>
        <w:rPr>
          <w:b/>
          <w:bCs/>
          <w:color w:val="1F2A44"/>
          <w:sz w:val="22"/>
          <w:szCs w:val="22"/>
        </w:rPr>
        <w:t xml:space="preserve">Hyperparameters and why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1F2A24"/>
          <w:sz w:val="20"/>
          <w:szCs w:val="20"/>
        </w:rPr>
        <w:t xml:space="preserve">max_depth=4</w:t>
      </w:r>
      <w:r>
        <w:rPr>
          <w:sz w:val="22"/>
          <w:szCs w:val="22"/>
        </w:rPr>
        <w:t xml:space="preserve"> — kept shallow deliberately. With 15 samples, a deep tree memorizes noise; shallow trees force the model to find only the strongest, most general splits.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1F2A24"/>
          <w:sz w:val="20"/>
          <w:szCs w:val="20"/>
        </w:rPr>
        <w:t xml:space="preserve">min_samples_leaf=2</w:t>
      </w:r>
      <w:r>
        <w:rPr>
          <w:sz w:val="22"/>
          <w:szCs w:val="22"/>
        </w:rPr>
        <w:t xml:space="preserve"> — same reasoning, stops leaves from fitting a single data point.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1F2A24"/>
          <w:sz w:val="20"/>
          <w:szCs w:val="20"/>
        </w:rPr>
        <w:t xml:space="preserve">class_weight="balanced"</w:t>
      </w:r>
      <w:r>
        <w:rPr>
          <w:sz w:val="22"/>
          <w:szCs w:val="22"/>
        </w:rPr>
        <w:t xml:space="preserve"> — automatically weights the minority class higher during training so the model does not just learn to predict the majority class.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1F2A24"/>
          <w:sz w:val="20"/>
          <w:szCs w:val="20"/>
        </w:rPr>
        <w:t xml:space="preserve">n_estimators=200</w:t>
      </w:r>
      <w:r>
        <w:rPr>
          <w:sz w:val="22"/>
          <w:szCs w:val="22"/>
        </w:rPr>
        <w:t xml:space="preserve"> — enough trees for the averaging to stabilize; more would not meaningfully help at this sample size.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DBCE" w:sz="4"/>
              <w:left w:val="single" w:color="D6DBCE" w:sz="4"/>
              <w:bottom w:val="single" w:color="D6DBCE" w:sz="4"/>
              <w:right w:val="single" w:color="D6DBCE" w:sz="4"/>
            </w:tcBorders>
            <w:shd w:fill="EE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A23E2F"/>
                <w:sz w:val="20"/>
                <w:szCs w:val="20"/>
              </w:rPr>
              <w:t xml:space="preserve">Responsible component:  </w:t>
            </w:r>
            <w:r>
              <w:rPr>
                <w:rFonts w:ascii="Consolas" w:cs="Consolas" w:eastAsia="Consolas" w:hAnsi="Consolas"/>
                <w:color w:val="1F2A24"/>
                <w:sz w:val="20"/>
                <w:szCs w:val="20"/>
              </w:rPr>
              <w:t xml:space="preserve">train_model.py</w:t>
            </w:r>
          </w:p>
          <w:p>
            <w:r>
              <w:rPr>
                <w:i/>
                <w:iCs/>
                <w:color w:val="5B6B60"/>
                <w:sz w:val="20"/>
                <w:szCs w:val="20"/>
              </w:rPr>
              <w:t xml:space="preserve">RandomForestClassifier(n_estimators=200, max_depth=4, min_samples_leaf=2, class_weight="balanced", random_state=42) inside train_and_evaluate().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A23E2F"/>
          <w:sz w:val="26"/>
          <w:szCs w:val="26"/>
        </w:rPr>
        <w:t xml:space="preserve">6.  </w:t>
      </w:r>
      <w:r>
        <w:rPr>
          <w:b/>
          <w:bCs/>
          <w:color w:val="1F2A44"/>
          <w:sz w:val="26"/>
          <w:szCs w:val="26"/>
        </w:rPr>
        <w:t xml:space="preserve">Stratified k-fold cross-validation</w:t>
      </w:r>
    </w:p>
    <w:p>
      <w:pPr>
        <w:spacing w:after="160"/>
      </w:pPr>
      <w:r>
        <w:rPr>
          <w:sz w:val="22"/>
          <w:szCs w:val="22"/>
        </w:rPr>
        <w:t xml:space="preserve">Stratified means each fold keeps roughly the same 0/1 class ratio as the full dataset — important because with only 15 samples, an unlucky random split could put all the “difficult” cases in one fold. k=5 was the plan, but the code checks the smaller class's count and caps k there automatically, since a class needs at least k members for stratified folding to work at all. This is worth mentioning as a robustness detail that was built in, not just borrowed from the proposal.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DBCE" w:sz="4"/>
              <w:left w:val="single" w:color="D6DBCE" w:sz="4"/>
              <w:bottom w:val="single" w:color="D6DBCE" w:sz="4"/>
              <w:right w:val="single" w:color="D6DBCE" w:sz="4"/>
            </w:tcBorders>
            <w:shd w:fill="EE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A23E2F"/>
                <w:sz w:val="20"/>
                <w:szCs w:val="20"/>
              </w:rPr>
              <w:t xml:space="preserve">Responsible component:  </w:t>
            </w:r>
            <w:r>
              <w:rPr>
                <w:rFonts w:ascii="Consolas" w:cs="Consolas" w:eastAsia="Consolas" w:hAnsi="Consolas"/>
                <w:color w:val="1F2A24"/>
                <w:sz w:val="20"/>
                <w:szCs w:val="20"/>
              </w:rPr>
              <w:t xml:space="preserve">train_model.py</w:t>
            </w:r>
          </w:p>
          <w:p>
            <w:r>
              <w:rPr>
                <w:i/>
                <w:iCs/>
                <w:color w:val="5B6B60"/>
                <w:sz w:val="20"/>
                <w:szCs w:val="20"/>
              </w:rPr>
              <w:t xml:space="preserve">n_folds = min(N_FOLDS, y.value_counts().min()); StratifiedKFold(n_splits=n_folds, shuffle=True, random_state=42); cross_validate(clf, X, y, cv=skf, scoring=scoring).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A23E2F"/>
          <w:sz w:val="26"/>
          <w:szCs w:val="26"/>
        </w:rPr>
        <w:t xml:space="preserve">7.  </w:t>
      </w:r>
      <w:r>
        <w:rPr>
          <w:b/>
          <w:bCs/>
          <w:color w:val="1F2A44"/>
          <w:sz w:val="26"/>
          <w:szCs w:val="26"/>
        </w:rPr>
        <w:t xml:space="preserve">Reading the results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CV means: </w:t>
      </w:r>
      <w:r>
        <w:rPr>
          <w:sz w:val="22"/>
          <w:szCs w:val="22"/>
        </w:rPr>
        <w:t xml:space="preserve">Accuracy 0.80, Precision 0.80, Recall 0.90, F1 0.83 — averaged across folds, this is the honest out-of-sample estimate.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Per-fold variance: </w:t>
      </w:r>
      <w:r>
        <w:rPr>
          <w:sz w:val="22"/>
          <w:szCs w:val="22"/>
        </w:rPr>
        <w:t xml:space="preserve">scores swing hard (one fold hit 0.33 accuracy, others hit 1.0) — with roughly 3 samples per test fold, that is expected, not a bug. State this limitation directly in the oral before a panelist raises it; it reads as rigor, not weakness.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The “perfect” classification report: </w:t>
      </w:r>
      <w:r>
        <w:rPr>
          <w:sz w:val="22"/>
          <w:szCs w:val="22"/>
        </w:rPr>
        <w:t xml:space="preserve">precision/recall/F1 = 1.00 is the model scored against the data it was trained on, not held out — labelled clearly as a training fit so it is never mistaken for a real performance claim. If asked why this shows 100%, that is the answer; it is expected and not the number that matters.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Feature importances: </w:t>
      </w:r>
      <w:r>
        <w:rPr>
          <w:sz w:val="22"/>
          <w:szCs w:val="22"/>
        </w:rPr>
        <w:t xml:space="preserve">avg_prev_attempts and the hist_* features dominate, meaning the model is mostly learning that a module's own difficulty history predicts its future difficulty — exactly the hypothesis the SLR gap analysis motivated. A clean, defensible result to lead with.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DBCE" w:sz="4"/>
              <w:left w:val="single" w:color="D6DBCE" w:sz="4"/>
              <w:bottom w:val="single" w:color="D6DBCE" w:sz="4"/>
              <w:right w:val="single" w:color="D6DBCE" w:sz="4"/>
            </w:tcBorders>
            <w:shd w:fill="EE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A23E2F"/>
                <w:sz w:val="20"/>
                <w:szCs w:val="20"/>
              </w:rPr>
              <w:t xml:space="preserve">Responsible component:  </w:t>
            </w:r>
            <w:r>
              <w:rPr>
                <w:rFonts w:ascii="Consolas" w:cs="Consolas" w:eastAsia="Consolas" w:hAnsi="Consolas"/>
                <w:color w:val="1F2A24"/>
                <w:sz w:val="20"/>
                <w:szCs w:val="20"/>
              </w:rPr>
              <w:t xml:space="preserve">train_model.py</w:t>
            </w:r>
          </w:p>
          <w:p>
            <w:r>
              <w:rPr>
                <w:i/>
                <w:iCs/>
                <w:color w:val="5B6B60"/>
                <w:sz w:val="20"/>
                <w:szCs w:val="20"/>
              </w:rPr>
              <w:t xml:space="preserve">classification_report(y, preds, ...); confusion_matrix(y, preds); pd.Series(clf.feature_importances_, index=FEATURE_COLS).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A23E2F"/>
          <w:sz w:val="26"/>
          <w:szCs w:val="26"/>
        </w:rPr>
        <w:t xml:space="preserve">8.  </w:t>
      </w:r>
      <w:r>
        <w:rPr>
          <w:b/>
          <w:bCs/>
          <w:color w:val="1F2A44"/>
          <w:sz w:val="26"/>
          <w:szCs w:val="26"/>
        </w:rPr>
        <w:t xml:space="preserve">Why precision / recall / F1, not just accuracy</w:t>
      </w:r>
    </w:p>
    <w:p>
      <w:pPr>
        <w:spacing w:after="160"/>
      </w:pPr>
      <w:r>
        <w:rPr>
          <w:sz w:val="22"/>
          <w:szCs w:val="22"/>
        </w:rPr>
        <w:t xml:space="preserve">With a small, roughly balanced sample this matters less than it would with real class imbalance, but it should still be understood: recall matters most for an early-warning system, since missing a genuinely difficult module (a false negative) means no intervention happens — the costlier error. Precision matters for not crying wolf on stable modules. F1 balances both. class_weight="balanced" is the direct answer to “how was the imbalance addressed,” even though this particular split ended up close to balanced.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DBCE" w:sz="4"/>
              <w:left w:val="single" w:color="D6DBCE" w:sz="4"/>
              <w:bottom w:val="single" w:color="D6DBCE" w:sz="4"/>
              <w:right w:val="single" w:color="D6DBCE" w:sz="4"/>
            </w:tcBorders>
            <w:shd w:fill="EE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A23E2F"/>
                <w:sz w:val="20"/>
                <w:szCs w:val="20"/>
              </w:rPr>
              <w:t xml:space="preserve">Responsible component:  </w:t>
            </w:r>
            <w:r>
              <w:rPr>
                <w:rFonts w:ascii="Consolas" w:cs="Consolas" w:eastAsia="Consolas" w:hAnsi="Consolas"/>
                <w:color w:val="1F2A24"/>
                <w:sz w:val="20"/>
                <w:szCs w:val="20"/>
              </w:rPr>
              <w:t xml:space="preserve">train_model.py</w:t>
            </w:r>
          </w:p>
          <w:p>
            <w:r>
              <w:rPr>
                <w:i/>
                <w:iCs/>
                <w:color w:val="5B6B60"/>
                <w:sz w:val="20"/>
                <w:szCs w:val="20"/>
              </w:rPr>
              <w:t xml:space="preserve">scoring = ["accuracy", "precision", "recall", "f1"] passed into cross_validate(); class_weight="balanced" on the classifier.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A23E2F"/>
          <w:sz w:val="26"/>
          <w:szCs w:val="26"/>
        </w:rPr>
        <w:t xml:space="preserve">9.  </w:t>
      </w:r>
      <w:r>
        <w:rPr>
          <w:b/>
          <w:bCs/>
          <w:color w:val="1F2A44"/>
          <w:sz w:val="26"/>
          <w:szCs w:val="26"/>
        </w:rPr>
        <w:t xml:space="preserve">How it becomes a live system</w:t>
      </w:r>
    </w:p>
    <w:p>
      <w:pPr>
        <w:spacing w:after="160"/>
      </w:pPr>
      <w:r>
        <w:rPr>
          <w:sz w:val="22"/>
          <w:szCs w:val="22"/>
        </w:rPr>
        <w:t xml:space="preserve">prepare_data.py builds the dataset, train_model.py trains and saves the model, and the Flask backend's /api/predict loads it and, for a module with history, pulls that module's latest cohort statistics to construct the next presentation's feature row, calls predict_proba, and logs the result. /api/flagged surfaces anything scoring 0.5 or higher for intervention. This end-to-end path — history in, flag out — is the answer to “how would this actually be used.”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DBCE" w:sz="4"/>
              <w:left w:val="single" w:color="D6DBCE" w:sz="4"/>
              <w:bottom w:val="single" w:color="D6DBCE" w:sz="4"/>
              <w:right w:val="single" w:color="D6DBCE" w:sz="4"/>
            </w:tcBorders>
            <w:shd w:fill="EE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A23E2F"/>
                <w:sz w:val="20"/>
                <w:szCs w:val="20"/>
              </w:rPr>
              <w:t xml:space="preserve">Responsible component:  </w:t>
            </w:r>
            <w:r>
              <w:rPr>
                <w:rFonts w:ascii="Consolas" w:cs="Consolas" w:eastAsia="Consolas" w:hAnsi="Consolas"/>
                <w:color w:val="1F2A24"/>
                <w:sz w:val="20"/>
                <w:szCs w:val="20"/>
              </w:rPr>
              <w:t xml:space="preserve">app/ml/model_service.py
app/api/routes.py
seed_db.py</w:t>
            </w:r>
          </w:p>
          <w:p>
            <w:r>
              <w:rPr>
                <w:i/>
                <w:iCs/>
                <w:color w:val="5B6B60"/>
                <w:sz w:val="20"/>
                <w:szCs w:val="20"/>
              </w:rPr>
              <w:t xml:space="preserve">model_service.predict() loads dropout_risk_model.joblib and returns (label, probability); routes.py's /api/predict and /api/flagged expose it; seed_db.py loads cohort_dataset.csv into the Cohort table that /predict reads a module's latest history from.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2026-09-19T21:09:54.678Z</dcterms:created>
  <dcterms:modified xsi:type="dcterms:W3CDTF">2026-09-19T21:09:54.687Z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