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aps/>
          <w:color w:val="7F7F7F"/>
          <w:spacing w:val="40"/>
          <w:sz w:val="24"/>
          <w:szCs w:val="24"/>
        </w:rPr>
        <w:t xml:space="preserve">STFM 312 Assignment</w:t>
      </w:r>
    </w:p>
    <w:p>
      <w:pPr>
        <w:pBdr>
          <w:bottom w:val="single" w:color="1F3864" w:sz="12" w:space="8"/>
        </w:pBdr>
        <w:spacing w:after="200"/>
      </w:pPr>
      <w:r>
        <w:rPr>
          <w:b/>
          <w:bCs/>
          <w:color w:val="1F3864"/>
          <w:sz w:val="48"/>
          <w:szCs w:val="48"/>
        </w:rPr>
        <w:t xml:space="preserve">Box–Jenkins Modelling of Epsilon Data Mining Quarterly Sales</w:t>
      </w:r>
    </w:p>
    <w:p>
      <w:pPr>
        <w:spacing w:after="40"/>
      </w:pPr>
      <w:r>
        <w:rPr>
          <w:b/>
          <w:bCs/>
          <w:sz w:val="24"/>
          <w:szCs w:val="24"/>
        </w:rPr>
        <w:t xml:space="preserve">Neo Mthembu</w:t>
      </w:r>
    </w:p>
    <w:p>
      <w:pPr>
        <w:spacing w:after="40"/>
      </w:pPr>
      <w:r>
        <w:rPr>
          <w:color w:val="404040"/>
          <w:sz w:val="22"/>
          <w:szCs w:val="22"/>
        </w:rPr>
        <w:t xml:space="preserve">Student number: 36321389</w:t>
      </w:r>
    </w:p>
    <w:p>
      <w:pPr>
        <w:spacing w:after="360"/>
      </w:pPr>
      <w:r>
        <w:rPr>
          <w:color w:val="404040"/>
          <w:sz w:val="22"/>
          <w:szCs w:val="22"/>
        </w:rPr>
        <w:t xml:space="preserve">North-West University  |  BCom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3864" w:sz="24"/>
              <w:bottom w:val="single" w:color="BFBFBF" w:sz="4"/>
              <w:right w:val="single" w:color="BFBFBF" w:sz="4"/>
            </w:tcBorders>
            <w:shd w:fill="F2F6FC" w:color="auto" w:val="clear"/>
            <w:tcMar>
              <w:top w:type="dxa" w:w="140"/>
              <w:left w:type="dxa" w:w="220"/>
              <w:bottom w:type="dxa" w:w="140"/>
              <w:right w:type="dxa" w:w="220"/>
            </w:tcMar>
          </w:tcPr>
          <w:p>
            <w:pPr>
              <w:spacing w:after="80"/>
            </w:pPr>
            <w:r>
              <w:rPr>
                <w:b/>
                <w:bCs/>
                <w:color w:val="1F3864"/>
                <w:sz w:val="24"/>
                <w:szCs w:val="24"/>
              </w:rPr>
              <w:t xml:space="preserve">Summary</w:t>
            </w:r>
          </w:p>
          <w:p>
            <w:pPr>
              <w:spacing w:after="80" w:line="276"/>
            </w:pPr>
            <w:r>
              <w:t xml:space="preserve">Ten years of quarterly sales (2016 Q1 – 2025 Q4) were modelled with the Box–Jenkins method. The series has a strong upward trend and a Q4 seasonal peak, and needed one regular and one seasonal difference (d = 1, D = 1, s = 4) to become stationary.</w:t>
            </w:r>
          </w:p>
          <w:p>
            <w:pPr>
              <w:spacing w:after="80" w:line="276"/>
            </w:pPr>
            <w:r>
              <w:t xml:space="preserve">Of four candidate models, ARIMA(0,1,0)(0,1,1)</w:t>
            </w:r>
            <w:r>
              <w:rPr>
                <w:vertAlign w:val="subscript"/>
              </w:rPr>
              <w:t xml:space="preserve">4</w:t>
            </w:r>
            <w:r>
              <w:t xml:space="preserve"> had the lowest AIC (403.14) and SBC (406.25). Its residuals pass the Ljung–Box white-noise test, so it is used to forecast 2026–2027: sales are expected to rise from about R5.8 million in 2026 Q1 to about R8.2 million in 2027 Q4.</w:t>
            </w:r>
          </w:p>
        </w:tc>
      </w:tr>
    </w:tbl>
    <w:p>
      <w:r>
        <w:br w:type="page"/>
      </w:r>
    </w:p>
    <w:p>
      <w:pPr>
        <w:pStyle w:val="Heading1"/>
      </w:pPr>
      <w:r>
        <w:t xml:space="preserve">1. Introduction</w:t>
      </w:r>
    </w:p>
    <w:p>
      <w:pPr>
        <w:spacing w:after="120" w:line="276"/>
      </w:pPr>
      <w:r>
        <w:t xml:space="preserve">Epsilon Data Mining (Pty) Ltd was contracted by a retail firm to analyse ten years of quarterly sales data (2016–2025) and to produce reliable forecasts for 2026 and 2027. The objective is to apply the Box–Jenkins (ARIMA) methodology to understand sales dynamics, identify trend and seasonality, build forecasting models, and provide practical business insights.</w:t>
      </w:r>
    </w:p>
    <w:p>
      <w:pPr>
        <w:spacing w:after="120" w:line="276"/>
      </w:pPr>
      <w:r>
        <w:t xml:space="preserve">This report covers the full time series workflow: data visualisation, stationarity testing, differencing, model identification, estimation, diagnostic checking and forecasting.</w:t>
      </w:r>
    </w:p>
    <w:p>
      <w:pPr>
        <w:pStyle w:val="Heading1"/>
      </w:pPr>
      <w:r>
        <w:t xml:space="preserve">2. Methodology</w:t>
      </w:r>
    </w:p>
    <w:p>
      <w:pPr>
        <w:pStyle w:val="Heading2"/>
      </w:pPr>
      <w:r>
        <w:t xml:space="preserve">2.1 Data</w:t>
      </w:r>
    </w:p>
    <w:p>
      <w:pPr>
        <w:spacing w:after="120" w:line="276"/>
      </w:pPr>
      <w:r>
        <w:t xml:space="preserve">The dataset has 40 quarterly observations from 2016 Q1 to 2025 Q4. Sales are measured in thousands of South African Rand (ZAR ’000). The SAS data step is given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Variable</w:t>
            </w:r>
          </w:p>
        </w:tc>
        <w:tc>
          <w:tcPr>
            <w:tcW w:type="dxa" w:w="72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Description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Quarter</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Time index (2016 Q1 – 2025 Q4)</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Sales</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Quarterly sales revenue (ZAR ’000)</w:t>
            </w:r>
          </w:p>
        </w:tc>
      </w:tr>
    </w:tbl>
    <w:p>
      <w:pPr>
        <w:pStyle w:val="Heading2"/>
      </w:pPr>
      <w:r>
        <w:t xml:space="preserve">2.2 Box–Jenkins procedure</w:t>
      </w:r>
    </w:p>
    <w:p>
      <w:pPr>
        <w:keepNext/>
        <w:spacing w:after="120" w:line="276"/>
      </w:pPr>
      <w:r>
        <w:t xml:space="preserve">The analysis follows four steps. All analysis was done in SAS (PROC ARIMA, PROC SGPLOT and PROC UNIVARIATE).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Step</w:t>
            </w:r>
          </w:p>
        </w:tc>
        <w:tc>
          <w:tcPr>
            <w:tcW w:type="dxa" w:w="72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Description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Identification</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Plot the data, check stationarity and determine the differencing orders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Estimation</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Estimate candidate model parameters by maximum likelihood (ML)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Diagnostic checking</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Verify that residuals behave as white noise (Ljung–Box test)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Forecasting</w:t>
            </w:r>
          </w:p>
        </w:tc>
        <w:tc>
          <w:tcPr>
            <w:tcW w:type="dxa" w:w="7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Generate forecasts with 95% confidence intervals</w:t>
            </w:r>
          </w:p>
        </w:tc>
      </w:tr>
    </w:tbl>
    <w:p>
      <w:pPr>
        <w:pStyle w:val="Heading1"/>
      </w:pPr>
      <w:r>
        <w:t xml:space="preserve">3. Analysis</w:t>
      </w:r>
    </w:p>
    <w:p>
      <w:pPr>
        <w:pStyle w:val="Heading2"/>
      </w:pPr>
      <w:r>
        <w:t xml:space="preserve">Task 1: Data preparation and visualisation</w:t>
      </w:r>
    </w:p>
    <w:p>
      <w:pPr>
        <w:spacing w:after="120" w:line="276"/>
      </w:pPr>
      <w:r>
        <w:t xml:space="preserve">The data were loaded into SAS and plotted as a time series (Appendix A). Table 1 gives the summary statistics.</w:t>
      </w:r>
    </w:p>
    <w:p>
      <w:pPr>
        <w:keepNext/>
        <w:spacing w:after="80" w:before="160"/>
      </w:pPr>
      <w:r>
        <w:rPr>
          <w:b/>
          <w:bCs/>
          <w:color w:val="1F3864"/>
          <w:sz w:val="20"/>
          <w:szCs w:val="20"/>
        </w:rPr>
        <w:t xml:space="preserve">Table 1: Summary statistics of quarterly sales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Statistic</w:t>
            </w:r>
          </w:p>
        </w:tc>
        <w:tc>
          <w:tcPr>
            <w:tcW w:type="dxa" w:w="54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Number of observations</w:t>
            </w:r>
          </w:p>
        </w:tc>
        <w:tc>
          <w:tcPr>
            <w:tcW w:type="dxa" w:w="54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40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Mean</w:t>
            </w:r>
          </w:p>
        </w:tc>
        <w:tc>
          <w:tcPr>
            <w:tcW w:type="dxa" w:w="54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2,690.75 (ZAR ’000)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Standard deviation (sample)</w:t>
            </w:r>
          </w:p>
        </w:tc>
        <w:tc>
          <w:tcPr>
            <w:tcW w:type="dxa" w:w="54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1,419.11 (ZAR ’000)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Minimum</w:t>
            </w:r>
          </w:p>
        </w:tc>
        <w:tc>
          <w:tcPr>
            <w:tcW w:type="dxa" w:w="54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900 (2016 Q1)</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Maximum</w:t>
            </w:r>
          </w:p>
        </w:tc>
        <w:tc>
          <w:tcPr>
            <w:tcW w:type="dxa" w:w="54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6,000 (2025 Q4)</w:t>
            </w:r>
          </w:p>
        </w:tc>
      </w:tr>
    </w:tbl>
    <w:p>
      <w:pPr>
        <w:keepNext/>
        <w:spacing w:after="60" w:before="120"/>
        <w:jc w:val="center"/>
      </w:pPr>
      <w:r>
        <w:drawing>
          <wp:inline distT="0" distB="0" distL="0" distR="0">
            <wp:extent cx="4095750" cy="3114675"/>
            <wp:effectExtent t="0" r="0" b="0" l="0"/>
            <wp:docPr id="1" name="fig1" descr="SAS output 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14675"/>
                    </a:xfrm>
                    <a:prstGeom prst="rect">
                      <a:avLst/>
                    </a:prstGeom>
                  </pic:spPr>
                </pic:pic>
              </a:graphicData>
            </a:graphic>
          </wp:inline>
        </w:drawing>
      </w:r>
    </w:p>
    <w:p>
      <w:pPr>
        <w:spacing w:after="200"/>
        <w:jc w:val="center"/>
      </w:pPr>
      <w:r>
        <w:rPr>
          <w:i/>
          <w:iCs/>
          <w:color w:val="595959"/>
          <w:sz w:val="19"/>
          <w:szCs w:val="19"/>
        </w:rPr>
        <w:t xml:space="preserve">Figure 1: Quarterly sales, 2016 Q1 – 2025 Q4 (ZAR ’000)</w:t>
      </w:r>
    </w:p>
    <w:p>
      <w:pPr>
        <w:pBdr>
          <w:left w:val="single" w:color="1F3864" w:sz="18" w:space="8"/>
        </w:pBdr>
        <w:spacing w:after="160" w:before="120" w:line="276"/>
        <w:ind w:left="200"/>
      </w:pPr>
      <w:r>
        <w:rPr>
          <w:b/>
          <w:bCs/>
          <w:color w:val="1F3864"/>
        </w:rPr>
        <w:t xml:space="preserve">Description: </w:t>
      </w:r>
      <w:r>
        <w:t xml:space="preserve">Sales show a strong upward trend, rising from 900 in 2016 Q1 to 6,000 in 2025 Q4, more than a six-fold increase. A clear seasonal pattern is visible, with peaks in Q4 of every year. The spread of the series also grows over time, which points to non-stationarity. A small dip in 2020 Q2 (from 2,000 to 1,900) is probably linked to COVID-19 disruption, but the series recovers quickly.</w:t>
      </w:r>
    </w:p>
    <w:p>
      <w:pPr>
        <w:pStyle w:val="Heading2"/>
      </w:pPr>
      <w:r>
        <w:t xml:space="preserve">Task 2: Stationarity check</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 stationarity=(adf);</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val="false"/>
        <w:keepLines/>
        <w:shd w:fill="F2F2F2" w:color="auto" w:val="clear"/>
        <w:spacing w:after="0" w:line="240"/>
        <w:ind w:left="120" w:right="120"/>
      </w:pPr>
      <w:r>
        <w:rPr>
          <w:rFonts w:ascii="Consolas" w:cs="Consolas" w:eastAsia="Consolas" w:hAnsi="Consolas"/>
          <w:sz w:val="18"/>
          <w:szCs w:val="18"/>
        </w:rPr>
        <w:t xml:space="preserve">quit;</w:t>
      </w:r>
    </w:p>
    <w:p>
      <w:pPr>
        <w:spacing w:after="120"/>
      </w:pPr>
    </w:p>
    <w:p>
      <w:pPr>
        <w:keepNext/>
        <w:spacing w:after="80" w:before="160"/>
      </w:pPr>
      <w:r>
        <w:rPr>
          <w:b/>
          <w:bCs/>
          <w:color w:val="1F3864"/>
          <w:sz w:val="20"/>
          <w:szCs w:val="20"/>
        </w:rPr>
        <w:t xml:space="preserve">Table 2: Autocorrelation check for white noise (original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00"/>
        <w:gridCol w:w="1100"/>
        <w:gridCol w:w="5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To lag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Chi-square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DF</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Pr &gt; ChiSq</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Autocorrelations (lags 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139.61</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&lt;.0001</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0.898, 0.818, 0.737, 0.675, 0.584, 0.513</w:t>
            </w:r>
          </w:p>
        </w:tc>
      </w:tr>
    </w:tbl>
    <w:p>
      <w:pPr>
        <w:keepNext/>
        <w:spacing w:after="80" w:before="160"/>
      </w:pPr>
      <w:r>
        <w:rPr>
          <w:b/>
          <w:bCs/>
          <w:color w:val="1F3864"/>
          <w:sz w:val="20"/>
          <w:szCs w:val="20"/>
        </w:rPr>
        <w:t xml:space="preserve">Table 3: Augmented Dickey–Fuller unit root tests (original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100"/>
        <w:gridCol w:w="1200"/>
        <w:gridCol w:w="1100"/>
        <w:gridCol w:w="1300"/>
        <w:gridCol w:w="1100"/>
        <w:gridCol w:w="15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left"/>
            </w:pPr>
            <w:r>
              <w:rPr>
                <w:b/>
                <w:bCs/>
                <w:color w:val="FFFFFF"/>
                <w:sz w:val="20"/>
                <w:szCs w:val="20"/>
              </w:rPr>
              <w:t xml:space="preserve">Type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Lags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Rho</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Pr &lt; Rho</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Tau</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Pr &lt; Tau</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F</w:t>
            </w:r>
          </w:p>
        </w:tc>
        <w:tc>
          <w:tcPr>
            <w:tcW w:type="dxa" w:w="15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Pr &gt; F</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Zero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1.9528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0.9839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5.38</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Zero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1.8415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0.9799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7.62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Zero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1.7725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0.9768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5.09</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Single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1.9358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0.9964</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2.37</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14.07</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0.0010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Single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1.9089</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0.9962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4.21</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28.24</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0.0010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Single mean</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1.8409</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0.9958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3.72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12.60</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0.0010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Trend</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-1.1085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0.9842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-0.32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0.9872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3.19</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0.5570</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Trend</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1.7545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0.90</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8.61</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0.0122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Trend</w:t>
            </w:r>
          </w:p>
        </w:tc>
        <w:tc>
          <w:tcPr>
            <w:tcW w:type="dxa" w:w="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1.7792</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0.95</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0.9999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6.71</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0.0509</w:t>
            </w:r>
          </w:p>
        </w:tc>
      </w:tr>
    </w:tbl>
    <w:p>
      <w:pPr>
        <w:keepNext/>
        <w:spacing w:after="60" w:before="120"/>
        <w:jc w:val="center"/>
      </w:pPr>
      <w:r>
        <w:drawing>
          <wp:inline distT="0" distB="0" distL="0" distR="0">
            <wp:extent cx="3619500" cy="2714625"/>
            <wp:effectExtent t="0" r="0" b="0" l="0"/>
            <wp:docPr id="1" name="fig2" descr="SAS output 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i/>
          <w:iCs/>
          <w:color w:val="595959"/>
          <w:sz w:val="19"/>
          <w:szCs w:val="19"/>
        </w:rPr>
        <w:t xml:space="preserve">Figure 2: Trend and correlation analysis for Sales</w:t>
      </w:r>
    </w:p>
    <w:p>
      <w:pPr>
        <w:pBdr>
          <w:left w:val="single" w:color="1F3864" w:sz="18" w:space="8"/>
        </w:pBdr>
        <w:spacing w:after="160" w:before="120" w:line="276"/>
        <w:ind w:left="200"/>
      </w:pPr>
      <w:r>
        <w:rPr>
          <w:b/>
          <w:bCs/>
          <w:color w:val="1F3864"/>
        </w:rPr>
        <w:t xml:space="preserve">Interpretation: </w:t>
      </w:r>
      <w:r>
        <w:t xml:space="preserve">The ADF tau p-values are all above 0.98, far larger than 0.05, so the null hypothesis of a unit root is not rejected and the original series is non-stationary. The ACF decays slowly (lag 1 = 0.898, lag 2 = 0.818, lag 3 = 0.737), which confirms a strong trend.</w:t>
      </w:r>
    </w:p>
    <w:p>
      <w:pPr>
        <w:pStyle w:val="Heading2"/>
      </w:pPr>
      <w:r>
        <w:t xml:space="preserve">Task 3: Differencing</w:t>
      </w:r>
    </w:p>
    <w:p>
      <w:pPr>
        <w:keepNext/>
        <w:spacing w:after="120" w:line="276"/>
      </w:pPr>
      <w:r>
        <w:rPr>
          <w:b/>
          <w:bCs/>
        </w:rPr>
        <w:t xml:space="preserve">First difference. </w:t>
      </w:r>
      <w:r>
        <w:t xml:space="preserve">A first difference (d = 1) is applied to remove the trend.</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   /* first difference */</w:t>
      </w:r>
    </w:p>
    <w:p>
      <w:pPr>
        <w:keepNext w:val="false"/>
        <w:keepLines/>
        <w:shd w:fill="F2F2F2" w:color="auto" w:val="clear"/>
        <w:spacing w:after="0" w:line="240"/>
        <w:ind w:left="120" w:right="120"/>
      </w:pPr>
      <w:r>
        <w:rPr>
          <w:rFonts w:ascii="Consolas" w:cs="Consolas" w:eastAsia="Consolas" w:hAnsi="Consolas"/>
          <w:sz w:val="18"/>
          <w:szCs w:val="18"/>
        </w:rPr>
        <w:t xml:space="preserve">run;</w:t>
      </w:r>
    </w:p>
    <w:p>
      <w:pPr>
        <w:spacing w:after="120"/>
      </w:pPr>
    </w:p>
    <w:p>
      <w:pPr>
        <w:keepNext/>
        <w:spacing w:after="80" w:before="160"/>
      </w:pPr>
      <w:r>
        <w:rPr>
          <w:b/>
          <w:bCs/>
          <w:color w:val="1F3864"/>
          <w:sz w:val="20"/>
          <w:szCs w:val="20"/>
        </w:rPr>
        <w:t xml:space="preserve">Table 4: Autocorrelation check for white noise, Sales(1)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00"/>
        <w:gridCol w:w="1100"/>
        <w:gridCol w:w="5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To lag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Chi-square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DF</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Pr &gt; ChiSq</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Autocorrelations (lags 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49.00</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&lt;.0001</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-0.333, 0.332, -0.386, 0.750, -0.297, 0.253</w:t>
            </w:r>
          </w:p>
        </w:tc>
      </w:tr>
    </w:tbl>
    <w:p>
      <w:pPr>
        <w:keepNext/>
        <w:spacing w:after="60" w:before="120"/>
        <w:jc w:val="center"/>
      </w:pPr>
      <w:r>
        <w:drawing>
          <wp:inline distT="0" distB="0" distL="0" distR="0">
            <wp:extent cx="3429000" cy="2571750"/>
            <wp:effectExtent t="0" r="0" b="0" l="0"/>
            <wp:docPr id="1" name="fig3" descr="SAS output 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71750"/>
                    </a:xfrm>
                    <a:prstGeom prst="rect">
                      <a:avLst/>
                    </a:prstGeom>
                  </pic:spPr>
                </pic:pic>
              </a:graphicData>
            </a:graphic>
          </wp:inline>
        </w:drawing>
      </w:r>
    </w:p>
    <w:p>
      <w:pPr>
        <w:spacing w:after="200"/>
        <w:jc w:val="center"/>
      </w:pPr>
      <w:r>
        <w:rPr>
          <w:i/>
          <w:iCs/>
          <w:color w:val="595959"/>
          <w:sz w:val="19"/>
          <w:szCs w:val="19"/>
        </w:rPr>
        <w:t xml:space="preserve">Figure 3: Trend and correlation analysis for Sales(1)</w:t>
      </w:r>
    </w:p>
    <w:p>
      <w:pPr>
        <w:pBdr>
          <w:left w:val="single" w:color="1F3864" w:sz="18" w:space="8"/>
        </w:pBdr>
        <w:spacing w:after="160" w:before="120" w:line="276"/>
        <w:ind w:left="200"/>
      </w:pPr>
      <w:r>
        <w:rPr>
          <w:b/>
          <w:bCs/>
          <w:color w:val="1F3864"/>
        </w:rPr>
        <w:t xml:space="preserve">Interpretation: </w:t>
      </w:r>
      <w:r>
        <w:t xml:space="preserve">The trend has been removed, but a strong seasonal spike remains at lag 4 (0.750) and the white-noise test is still rejected (p &lt; 0.0001). A seasonal difference is therefore needed.</w:t>
      </w:r>
    </w:p>
    <w:p>
      <w:pPr>
        <w:keepNext/>
        <w:spacing w:after="120" w:line="276"/>
      </w:pPr>
      <w:r>
        <w:rPr>
          <w:b/>
          <w:bCs/>
        </w:rPr>
        <w:t xml:space="preserve">First and seasonal difference. </w:t>
      </w:r>
      <w:r>
        <w:t xml:space="preserve">A seasonal difference at lag 4 is added (quarterly data).</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var=Sales(1,4);   /* regular + seasonal difference */</w:t>
      </w:r>
    </w:p>
    <w:p>
      <w:pPr>
        <w:keepNext w:val="false"/>
        <w:keepLines/>
        <w:shd w:fill="F2F2F2" w:color="auto" w:val="clear"/>
        <w:spacing w:after="0" w:line="240"/>
        <w:ind w:left="120" w:right="120"/>
      </w:pPr>
      <w:r>
        <w:rPr>
          <w:rFonts w:ascii="Consolas" w:cs="Consolas" w:eastAsia="Consolas" w:hAnsi="Consolas"/>
          <w:sz w:val="18"/>
          <w:szCs w:val="18"/>
        </w:rPr>
        <w:t xml:space="preserve">run;</w:t>
      </w:r>
    </w:p>
    <w:p>
      <w:pPr>
        <w:spacing w:after="120"/>
      </w:pPr>
    </w:p>
    <w:p>
      <w:pPr>
        <w:keepNext/>
        <w:spacing w:after="80" w:before="160"/>
      </w:pPr>
      <w:r>
        <w:rPr>
          <w:b/>
          <w:bCs/>
          <w:color w:val="1F3864"/>
          <w:sz w:val="20"/>
          <w:szCs w:val="20"/>
        </w:rPr>
        <w:t xml:space="preserve">Table 5: Autocorrelation check for white noise, Sales(1,4)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00"/>
        <w:gridCol w:w="1100"/>
        <w:gridCol w:w="5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To lag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Chi-square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DF</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Pr &gt; ChiSq</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Autocorrelations (lags 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4.97</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0.5473</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-0.115, 0.037, -0.116, -0.279, 0.088, 0.081</w:t>
            </w:r>
          </w:p>
        </w:tc>
      </w:tr>
    </w:tbl>
    <w:p>
      <w:pPr>
        <w:keepNext/>
        <w:spacing w:after="60" w:before="120"/>
        <w:jc w:val="center"/>
      </w:pPr>
      <w:r>
        <w:drawing>
          <wp:inline distT="0" distB="0" distL="0" distR="0">
            <wp:extent cx="3619500" cy="2047875"/>
            <wp:effectExtent t="0" r="0" b="0" l="0"/>
            <wp:docPr id="1" name="fig4" descr="SAS output 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47875"/>
                    </a:xfrm>
                    <a:prstGeom prst="rect">
                      <a:avLst/>
                    </a:prstGeom>
                  </pic:spPr>
                </pic:pic>
              </a:graphicData>
            </a:graphic>
          </wp:inline>
        </w:drawing>
      </w:r>
    </w:p>
    <w:p>
      <w:pPr>
        <w:spacing w:after="200"/>
        <w:jc w:val="center"/>
      </w:pPr>
      <w:r>
        <w:rPr>
          <w:i/>
          <w:iCs/>
          <w:color w:val="595959"/>
          <w:sz w:val="19"/>
          <w:szCs w:val="19"/>
        </w:rPr>
        <w:t xml:space="preserve">Figure 4: Trend and correlation analysis for Sales(1,4)</w:t>
      </w:r>
    </w:p>
    <w:p>
      <w:pPr>
        <w:pBdr>
          <w:left w:val="single" w:color="1F3864" w:sz="18" w:space="8"/>
        </w:pBdr>
        <w:spacing w:after="160" w:before="120" w:line="276"/>
        <w:ind w:left="200"/>
      </w:pPr>
      <w:r>
        <w:rPr>
          <w:b/>
          <w:bCs/>
          <w:color w:val="1F3864"/>
        </w:rPr>
        <w:t xml:space="preserve">Interpretation: </w:t>
      </w:r>
      <w:r>
        <w:t xml:space="preserve">The original series is non-stationary because of trend and seasonality. The first difference removes the trend but leaves the seasonal pattern; adding a seasonal difference at lag 4 gives a stationary series (white-noise p = 0.5473 &gt; 0.05). The differencing orders are therefore </w:t>
      </w:r>
      <w:r>
        <w:rPr>
          <w:b/>
          <w:bCs/>
        </w:rPr>
        <w:t xml:space="preserve">d = 1, D = 1 and s = 4</w:t>
      </w:r>
      <w:r>
        <w:t xml:space="preserve">. The only noticeable ACF spike is at lag 4 (−0.279).</w:t>
      </w:r>
    </w:p>
    <w:p>
      <w:pPr>
        <w:pStyle w:val="Heading2"/>
      </w:pPr>
      <w:r>
        <w:t xml:space="preserve">Task 4: Model identification</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var=Sales(1,4) nlag=16;</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val="false"/>
        <w:keepLines/>
        <w:shd w:fill="F2F2F2" w:color="auto" w:val="clear"/>
        <w:spacing w:after="0" w:line="240"/>
        <w:ind w:left="120" w:right="120"/>
      </w:pPr>
      <w:r>
        <w:rPr>
          <w:rFonts w:ascii="Consolas" w:cs="Consolas" w:eastAsia="Consolas" w:hAnsi="Consolas"/>
          <w:sz w:val="18"/>
          <w:szCs w:val="18"/>
        </w:rPr>
        <w:t xml:space="preserve">quit;</w:t>
      </w:r>
    </w:p>
    <w:p>
      <w:pPr>
        <w:spacing w:after="120"/>
      </w:pPr>
    </w:p>
    <w:p>
      <w:pPr>
        <w:keepNext/>
        <w:spacing w:after="80" w:before="160"/>
      </w:pPr>
      <w:r>
        <w:rPr>
          <w:b/>
          <w:bCs/>
          <w:color w:val="1F3864"/>
          <w:sz w:val="20"/>
          <w:szCs w:val="20"/>
        </w:rPr>
        <w:t xml:space="preserve">Table 6: Autocorrelation check for white noise, Sales(1,4)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00"/>
        <w:gridCol w:w="1100"/>
        <w:gridCol w:w="5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To lag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Chi-square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DF</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Pr &gt; ChiSq</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Autocorrelations (lags 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4.97</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0.5473</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-0.115, 0.037, -0.116, -0.279, 0.088, 0.081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7.05</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0.8546</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-0.095, 0.082, -0.150, 0.021, -0.028, 0.052</w:t>
            </w:r>
          </w:p>
        </w:tc>
      </w:tr>
    </w:tbl>
    <w:p>
      <w:pPr>
        <w:keepNext/>
        <w:spacing w:after="80" w:before="160"/>
      </w:pPr>
      <w:r>
        <w:t xml:space="preserve">Reading the ACF of the differenced series:</w:t>
      </w:r>
    </w:p>
    <w:p>
      <w:pPr>
        <w:pStyle w:val="ListParagraph"/>
        <w:numPr>
          <w:ilvl w:val="0"/>
          <w:numId w:val="2"/>
        </w:numPr>
        <w:spacing w:after="60"/>
      </w:pPr>
      <w:r>
        <w:t xml:space="preserve">Lags 1–3 (−0.115, 0.037, −0.116) are small, so there is no clear non-seasonal MA(1) term.</w:t>
      </w:r>
    </w:p>
    <w:p>
      <w:pPr>
        <w:pStyle w:val="ListParagraph"/>
        <w:numPr>
          <w:ilvl w:val="0"/>
          <w:numId w:val="2"/>
        </w:numPr>
        <w:spacing w:after="60"/>
      </w:pPr>
      <w:r>
        <w:t xml:space="preserve">Lag 4 (−0.279) is the largest spike, which points to a seasonal MA component.</w:t>
      </w:r>
    </w:p>
    <w:p>
      <w:pPr>
        <w:pStyle w:val="ListParagraph"/>
        <w:numPr>
          <w:ilvl w:val="0"/>
          <w:numId w:val="2"/>
        </w:numPr>
        <w:spacing w:after="60"/>
      </w:pPr>
      <w:r>
        <w:t xml:space="preserve">Lags 5–12 are all small and not significant.</w:t>
      </w:r>
    </w:p>
    <w:p>
      <w:pPr>
        <w:keepNext/>
        <w:spacing w:after="80" w:before="120"/>
      </w:pPr>
      <w:r>
        <w:t xml:space="preserve">Based on this, four candidate models were chosen (Table 7).</w:t>
      </w:r>
    </w:p>
    <w:p>
      <w:pPr>
        <w:keepNext/>
        <w:spacing w:after="80" w:before="160"/>
      </w:pPr>
      <w:r>
        <w:rPr>
          <w:b/>
          <w:bCs/>
          <w:color w:val="1F3864"/>
          <w:sz w:val="20"/>
          <w:szCs w:val="20"/>
        </w:rPr>
        <w:t xml:space="preserve">Table 7: Candidate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338"/>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Model</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ARIMA(p,d,q)(P,D,Q)₄</w:t>
            </w:r>
          </w:p>
        </w:tc>
        <w:tc>
          <w:tcPr>
            <w:tcW w:type="dxa" w:w="53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Description</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A</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(0,1,1)(0,1,1)₄</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MA(1) + seasonal MA(1)</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B</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(0,1,1)(1,1,0)₄</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MA(1) + seasonal AR(1)</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C</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(0,1,0)(0,1,1)₄</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Seasonal MA(1) only</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D</w:t>
            </w:r>
          </w:p>
        </w:tc>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(0,1,1)(0,1,2)₄</w:t>
            </w:r>
          </w:p>
        </w:tc>
        <w:tc>
          <w:tcPr>
            <w:tcW w:type="dxa" w:w="53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MA(1) + seasonal MA(2)</w:t>
            </w:r>
          </w:p>
        </w:tc>
      </w:tr>
    </w:tbl>
    <w:p>
      <w:pPr>
        <w:pStyle w:val="Heading2"/>
      </w:pPr>
      <w:r>
        <w:t xml:space="preserve">Task 5: Model estimation</w:t>
      </w:r>
    </w:p>
    <w:p>
      <w:pPr>
        <w:keepNext/>
        <w:spacing w:after="120" w:line="276"/>
      </w:pPr>
      <w:r>
        <w:t xml:space="preserve">Each candidate was estimated by maximum likelihood. The SAS code for all four models follows the same pattern:</w:t>
      </w:r>
    </w:p>
    <w:p>
      <w:pPr>
        <w:keepNext/>
        <w:keepLines/>
        <w:shd w:fill="F2F2F2" w:color="auto" w:val="clear"/>
        <w:spacing w:after="0" w:line="240"/>
        <w:ind w:left="120" w:right="120"/>
      </w:pPr>
      <w:r>
        <w:rPr>
          <w:rFonts w:ascii="Consolas" w:cs="Consolas" w:eastAsia="Consolas" w:hAnsi="Consolas"/>
          <w:sz w:val="18"/>
          <w:szCs w:val="18"/>
        </w:rPr>
        <w:t xml:space="preserve">/* Model A: ARIMA(0,1,1)(0,1,1)4 */</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var=Sales(1,4) noprint;</w:t>
      </w:r>
    </w:p>
    <w:p>
      <w:pPr>
        <w:keepNext/>
        <w:keepLines/>
        <w:shd w:fill="F2F2F2" w:color="auto" w:val="clear"/>
        <w:spacing w:after="0" w:line="240"/>
        <w:ind w:left="120" w:right="120"/>
      </w:pPr>
      <w:r>
        <w:rPr>
          <w:rFonts w:ascii="Consolas" w:cs="Consolas" w:eastAsia="Consolas" w:hAnsi="Consolas"/>
          <w:sz w:val="18"/>
          <w:szCs w:val="18"/>
        </w:rPr>
        <w:t xml:space="preserve">   estimate q=1 q=(4) method=ml;</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keepLines/>
        <w:shd w:fill="F2F2F2" w:color="auto" w:val="clear"/>
        <w:spacing w:after="0" w:line="240"/>
        <w:ind w:left="120" w:right="120"/>
      </w:pPr>
      <w:r>
        <w:rPr>
          <w:rFonts w:ascii="Consolas" w:cs="Consolas" w:eastAsia="Consolas" w:hAnsi="Consolas"/>
          <w:sz w:val="18"/>
          <w:szCs w:val="18"/>
        </w:rPr>
        <w:t xml:space="preserve"> </w:t>
      </w:r>
    </w:p>
    <w:p>
      <w:pPr>
        <w:keepNext/>
        <w:keepLines/>
        <w:shd w:fill="F2F2F2" w:color="auto" w:val="clear"/>
        <w:spacing w:after="0" w:line="240"/>
        <w:ind w:left="120" w:right="120"/>
      </w:pPr>
      <w:r>
        <w:rPr>
          <w:rFonts w:ascii="Consolas" w:cs="Consolas" w:eastAsia="Consolas" w:hAnsi="Consolas"/>
          <w:sz w:val="18"/>
          <w:szCs w:val="18"/>
        </w:rPr>
        <w:t xml:space="preserve">/* Model B: estimate q=1 p=(4) method=ml;       */</w:t>
      </w:r>
    </w:p>
    <w:p>
      <w:pPr>
        <w:keepNext/>
        <w:keepLines/>
        <w:shd w:fill="F2F2F2" w:color="auto" w:val="clear"/>
        <w:spacing w:after="0" w:line="240"/>
        <w:ind w:left="120" w:right="120"/>
      </w:pPr>
      <w:r>
        <w:rPr>
          <w:rFonts w:ascii="Consolas" w:cs="Consolas" w:eastAsia="Consolas" w:hAnsi="Consolas"/>
          <w:sz w:val="18"/>
          <w:szCs w:val="18"/>
        </w:rPr>
        <w:t xml:space="preserve">/* Model C: estimate q=(4) method=ml;           */</w:t>
      </w:r>
    </w:p>
    <w:p>
      <w:pPr>
        <w:keepNext w:val="false"/>
        <w:keepLines/>
        <w:shd w:fill="F2F2F2" w:color="auto" w:val="clear"/>
        <w:spacing w:after="0" w:line="240"/>
        <w:ind w:left="120" w:right="120"/>
      </w:pPr>
      <w:r>
        <w:rPr>
          <w:rFonts w:ascii="Consolas" w:cs="Consolas" w:eastAsia="Consolas" w:hAnsi="Consolas"/>
          <w:sz w:val="18"/>
          <w:szCs w:val="18"/>
        </w:rPr>
        <w:t xml:space="preserve">/* Model D: estimate q=1 q=(4,8) method=ml;     */</w:t>
      </w:r>
    </w:p>
    <w:p>
      <w:pPr>
        <w:spacing w:after="120"/>
      </w:pPr>
    </w:p>
    <w:p>
      <w:pPr>
        <w:keepNext/>
        <w:spacing w:after="80" w:before="160"/>
      </w:pPr>
      <w:r>
        <w:rPr>
          <w:b/>
          <w:bCs/>
          <w:color w:val="1F3864"/>
          <w:sz w:val="20"/>
          <w:szCs w:val="20"/>
        </w:rPr>
        <w:t xml:space="preserve">Table 8: Parameter estimates (maximum likelihood)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600"/>
        <w:gridCol w:w="1300"/>
        <w:gridCol w:w="1400"/>
        <w:gridCol w:w="15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left"/>
            </w:pPr>
            <w:r>
              <w:rPr>
                <w:b/>
                <w:bCs/>
                <w:color w:val="FFFFFF"/>
                <w:sz w:val="20"/>
                <w:szCs w:val="20"/>
              </w:rPr>
              <w:t xml:space="preserve">Parameter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Estimate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Std. error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t value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Pr &gt; |t|</w:t>
            </w:r>
          </w:p>
        </w:tc>
        <w:tc>
          <w:tcPr>
            <w:tcW w:type="dxa" w:w="15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Lag</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A</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MU</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22.60432</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11.52206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1.96</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0.0498</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A</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MA1,1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0.11528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0.17634</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0.65</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0.5133</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B</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MU</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22.13488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8.76807</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2.52</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0.0116</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B</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MA1,1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0.13838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0.18168</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0.76</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0.4463</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B</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AR1,1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-0.27186</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0.17442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-1.56</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0.1191</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C</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MU</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22.46398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9.90699</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2.27</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0.0234</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C</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MA1,1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0.23982</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0.17977</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1.33</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0.1822</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D</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MU</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22.60432</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11.52206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1.96</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0.0498</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D</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MA1,1</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0.11528</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0.17634</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0.65</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0.5133</w:t>
            </w:r>
          </w:p>
        </w:tc>
        <w:tc>
          <w:tcPr>
            <w:tcW w:type="dxa" w:w="1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1</w:t>
            </w:r>
          </w:p>
        </w:tc>
      </w:tr>
    </w:tbl>
    <w:p>
      <w:pPr>
        <w:keepNext/>
        <w:spacing w:after="80" w:before="160"/>
      </w:pPr>
      <w:r>
        <w:rPr>
          <w:b/>
          <w:bCs/>
          <w:color w:val="1F3864"/>
          <w:sz w:val="20"/>
          <w:szCs w:val="20"/>
        </w:rPr>
        <w:t xml:space="preserve">Table 9: Fit statistics and model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700"/>
        <w:gridCol w:w="1500"/>
        <w:gridCol w:w="1200"/>
        <w:gridCol w:w="1200"/>
        <w:gridCol w:w="12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Model</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Parameters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Significant (p &lt; 0.05)</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Variance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AIC</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SBC</w:t>
            </w:r>
          </w:p>
        </w:tc>
        <w:tc>
          <w:tcPr>
            <w:tcW w:type="dxa" w:w="12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Residuals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A</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MA(1)</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only</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5,887.45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405.10</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408.21</w:t>
            </w:r>
          </w:p>
        </w:tc>
        <w:tc>
          <w:tcPr>
            <w:tcW w:type="dxa" w:w="1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35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B</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MA(1), SAR(4)</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only</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5,545.58</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404.24</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408.91</w:t>
            </w:r>
          </w:p>
        </w:tc>
        <w:tc>
          <w:tcPr>
            <w:tcW w:type="dxa" w:w="1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35</w:t>
            </w:r>
          </w:p>
        </w:tc>
      </w:tr>
      <w:tr>
        <w:trPr>
          <w:cantSplit/>
        </w:trPr>
        <w:tc>
          <w:tcPr>
            <w:tcW w:type="dxa" w:w="9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center"/>
            </w:pPr>
            <w:r>
              <w:rPr>
                <w:b/>
                <w:bCs/>
                <w:sz w:val="20"/>
                <w:szCs w:val="20"/>
              </w:rPr>
              <w:t xml:space="preserve">C</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left"/>
            </w:pPr>
            <w:r>
              <w:rPr>
                <w:b/>
                <w:bCs/>
                <w:sz w:val="20"/>
                <w:szCs w:val="20"/>
              </w:rPr>
              <w:t xml:space="preserve">MU, SMA(4)</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left"/>
            </w:pPr>
            <w:r>
              <w:rPr>
                <w:b/>
                <w:bCs/>
                <w:sz w:val="20"/>
                <w:szCs w:val="20"/>
              </w:rPr>
              <w:t xml:space="preserve">MU only</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left"/>
            </w:pPr>
            <w:r>
              <w:rPr>
                <w:b/>
                <w:bCs/>
                <w:sz w:val="20"/>
                <w:szCs w:val="20"/>
              </w:rPr>
              <w:t xml:space="preserve">5,531.56</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center"/>
            </w:pPr>
            <w:r>
              <w:rPr>
                <w:b/>
                <w:bCs/>
                <w:sz w:val="20"/>
                <w:szCs w:val="20"/>
              </w:rPr>
              <w:t xml:space="preserve">403.14</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center"/>
            </w:pPr>
            <w:r>
              <w:rPr>
                <w:b/>
                <w:bCs/>
                <w:sz w:val="20"/>
                <w:szCs w:val="20"/>
              </w:rPr>
              <w:t xml:space="preserve">406.25</w:t>
            </w:r>
          </w:p>
        </w:tc>
        <w:tc>
          <w:tcPr>
            <w:tcW w:type="dxa" w:w="1238"/>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pPr>
              <w:keepNext/>
              <w:jc w:val="center"/>
            </w:pPr>
            <w:r>
              <w:rPr>
                <w:b/>
                <w:bCs/>
                <w:sz w:val="20"/>
                <w:szCs w:val="20"/>
              </w:rPr>
              <w:t xml:space="preserve">35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D</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MA(1)</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MU only</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5,887.45</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405.10</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408.21</w:t>
            </w:r>
          </w:p>
        </w:tc>
        <w:tc>
          <w:tcPr>
            <w:tcW w:type="dxa" w:w="1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35</w:t>
            </w:r>
          </w:p>
        </w:tc>
      </w:tr>
    </w:tbl>
    <w:p>
      <w:pPr>
        <w:spacing w:after="120"/>
      </w:pPr>
    </w:p>
    <w:p>
      <w:pPr>
        <w:keepNext/>
        <w:spacing w:after="60"/>
      </w:pPr>
      <w:r>
        <w:rPr>
          <w:b/>
          <w:bCs/>
        </w:rPr>
        <w:t xml:space="preserve">Key findings</w:t>
      </w:r>
    </w:p>
    <w:p>
      <w:pPr>
        <w:pStyle w:val="ListParagraph"/>
        <w:numPr>
          <w:ilvl w:val="0"/>
          <w:numId w:val="3"/>
        </w:numPr>
        <w:spacing w:after="60"/>
      </w:pPr>
      <w:r>
        <w:t xml:space="preserve">Only the mean term (MU) is significant at the 5% level in every model. No AR or MA parameter, seasonal or non-seasonal, is individually significant.</w:t>
      </w:r>
    </w:p>
    <w:p>
      <w:pPr>
        <w:pStyle w:val="ListParagraph"/>
        <w:numPr>
          <w:ilvl w:val="0"/>
          <w:numId w:val="3"/>
        </w:numPr>
        <w:spacing w:after="60"/>
      </w:pPr>
      <w:r>
        <w:rPr>
          <w:b/>
          <w:bCs/>
        </w:rPr>
        <w:t xml:space="preserve">Model C has the lowest AIC (403.14) and lowest SBC (406.25)</w:t>
      </w:r>
      <w:r>
        <w:t xml:space="preserve">, so it is the best of the four candidates even though its seasonal MA term is not significant on its own.</w:t>
      </w:r>
    </w:p>
    <w:p>
      <w:pPr>
        <w:pStyle w:val="ListParagraph"/>
        <w:numPr>
          <w:ilvl w:val="0"/>
          <w:numId w:val="3"/>
        </w:numPr>
        <w:spacing w:after="60"/>
      </w:pPr>
      <w:r>
        <w:t xml:space="preserve">Model B’s extra seasonal AR term does not pay for itself: its variance (5,545.58) is slightly higher than Model C’s (5,531.56) and it has the highest SBC (408.91).</w:t>
      </w:r>
    </w:p>
    <w:p>
      <w:pPr>
        <w:pStyle w:val="ListParagraph"/>
        <w:numPr>
          <w:ilvl w:val="0"/>
          <w:numId w:val="3"/>
        </w:numPr>
        <w:spacing w:after="60"/>
      </w:pPr>
      <w:r>
        <w:t xml:space="preserve">Model D returned exactly the same output as Model A, which suggests the second seasonal MA term (lag 8) was not actually estimated. Model D is therefore not treated as a separate model.</w:t>
      </w:r>
    </w:p>
    <w:p>
      <w:pPr>
        <w:pBdr>
          <w:left w:val="single" w:color="1F3864" w:sz="18" w:space="8"/>
        </w:pBdr>
        <w:spacing w:after="160" w:before="120" w:line="276"/>
        <w:ind w:left="200"/>
      </w:pPr>
      <w:r>
        <w:rPr>
          <w:b/>
          <w:bCs/>
          <w:color w:val="1F3864"/>
        </w:rPr>
        <w:t xml:space="preserve">Conclusion: </w:t>
      </w:r>
      <w:r>
        <w:rPr>
          <w:b/>
          <w:bCs/>
        </w:rPr>
        <w:t xml:space="preserve">Model C, ARIMA(0,1,0)(0,1,1)</w:t>
      </w:r>
      <w:r>
        <w:rPr>
          <w:b/>
          <w:bCs/>
          <w:vertAlign w:val="subscript"/>
        </w:rPr>
        <w:t xml:space="preserve">4</w:t>
      </w:r>
      <w:r>
        <w:t xml:space="preserve">, is selected as the most appropriate model. Because only the mean is significant, the differenced series is already close to white noise. Diagnostic checks follow in Task 6.</w:t>
      </w:r>
    </w:p>
    <w:p>
      <w:pPr>
        <w:pStyle w:val="Heading2"/>
      </w:pPr>
      <w:r>
        <w:t xml:space="preserve">Task 6: Diagnostic checking</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var=Sales(1,4) noprint;</w:t>
      </w:r>
    </w:p>
    <w:p>
      <w:pPr>
        <w:keepNext/>
        <w:keepLines/>
        <w:shd w:fill="F2F2F2" w:color="auto" w:val="clear"/>
        <w:spacing w:after="0" w:line="240"/>
        <w:ind w:left="120" w:right="120"/>
      </w:pPr>
      <w:r>
        <w:rPr>
          <w:rFonts w:ascii="Consolas" w:cs="Consolas" w:eastAsia="Consolas" w:hAnsi="Consolas"/>
          <w:sz w:val="18"/>
          <w:szCs w:val="18"/>
        </w:rPr>
        <w:t xml:space="preserve">   estimate q=(4) method=ml;</w:t>
      </w:r>
    </w:p>
    <w:p>
      <w:pPr>
        <w:keepNext/>
        <w:keepLines/>
        <w:shd w:fill="F2F2F2" w:color="auto" w:val="clear"/>
        <w:spacing w:after="0" w:line="240"/>
        <w:ind w:left="120" w:right="120"/>
      </w:pPr>
      <w:r>
        <w:rPr>
          <w:rFonts w:ascii="Consolas" w:cs="Consolas" w:eastAsia="Consolas" w:hAnsi="Consolas"/>
          <w:sz w:val="18"/>
          <w:szCs w:val="18"/>
        </w:rPr>
        <w:t xml:space="preserve">   forecast lead=8 out=forecast_results;</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val="false"/>
        <w:keepLines/>
        <w:shd w:fill="F2F2F2" w:color="auto" w:val="clear"/>
        <w:spacing w:after="0" w:line="240"/>
        <w:ind w:left="120" w:right="120"/>
      </w:pPr>
      <w:r>
        <w:rPr>
          <w:rFonts w:ascii="Consolas" w:cs="Consolas" w:eastAsia="Consolas" w:hAnsi="Consolas"/>
          <w:sz w:val="18"/>
          <w:szCs w:val="18"/>
        </w:rPr>
        <w:t xml:space="preserve">quit;</w:t>
      </w:r>
    </w:p>
    <w:p>
      <w:pPr>
        <w:spacing w:after="120"/>
      </w:pPr>
    </w:p>
    <w:p>
      <w:pPr>
        <w:keepNext/>
        <w:spacing w:after="60" w:before="120"/>
        <w:jc w:val="center"/>
      </w:pPr>
      <w:r>
        <w:drawing>
          <wp:inline distT="0" distB="0" distL="0" distR="0">
            <wp:extent cx="4095750" cy="1914525"/>
            <wp:effectExtent t="0" r="0" b="0" l="0"/>
            <wp:docPr id="1" name="fig5" descr="SAS output 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914525"/>
                    </a:xfrm>
                    <a:prstGeom prst="rect">
                      <a:avLst/>
                    </a:prstGeom>
                  </pic:spPr>
                </pic:pic>
              </a:graphicData>
            </a:graphic>
          </wp:inline>
        </w:drawing>
      </w:r>
    </w:p>
    <w:p>
      <w:pPr>
        <w:spacing w:after="200"/>
        <w:jc w:val="center"/>
      </w:pPr>
      <w:r>
        <w:rPr>
          <w:i/>
          <w:iCs/>
          <w:color w:val="595959"/>
          <w:sz w:val="19"/>
          <w:szCs w:val="19"/>
        </w:rPr>
        <w:t xml:space="preserve">Figure 5: Residual correlation diagnostics for Sales(1,4)</w:t>
      </w:r>
    </w:p>
    <w:p>
      <w:pPr>
        <w:keepNext/>
        <w:spacing w:after="60" w:before="120"/>
        <w:jc w:val="center"/>
      </w:pPr>
      <w:r>
        <w:drawing>
          <wp:inline distT="0" distB="0" distL="0" distR="0">
            <wp:extent cx="4095750" cy="1781175"/>
            <wp:effectExtent t="0" r="0" b="0" l="0"/>
            <wp:docPr id="1" name="fig6" descr="SAS output 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781175"/>
                    </a:xfrm>
                    <a:prstGeom prst="rect">
                      <a:avLst/>
                    </a:prstGeom>
                  </pic:spPr>
                </pic:pic>
              </a:graphicData>
            </a:graphic>
          </wp:inline>
        </w:drawing>
      </w:r>
    </w:p>
    <w:p>
      <w:pPr>
        <w:spacing w:after="200"/>
        <w:jc w:val="center"/>
      </w:pPr>
      <w:r>
        <w:rPr>
          <w:i/>
          <w:iCs/>
          <w:color w:val="595959"/>
          <w:sz w:val="19"/>
          <w:szCs w:val="19"/>
        </w:rPr>
        <w:t xml:space="preserve">Figure 6: Residual normality diagnostics for Sales(1,4)</w:t>
      </w:r>
    </w:p>
    <w:p>
      <w:pPr>
        <w:spacing w:after="120" w:line="276"/>
      </w:pPr>
      <w:r>
        <w:rPr>
          <w:b/>
          <w:bCs/>
        </w:rPr>
        <w:t xml:space="preserve">Residual ACF and PACF. </w:t>
      </w:r>
      <w:r>
        <w:t xml:space="preserve">With 35 residuals, the approximate 95% confidence bands are ±2/√35 ≈ ±0.34. All residual autocorrelations (Table 10) lie well inside these bands (the largest in absolute value is 0.192), so none is significant.</w:t>
      </w:r>
    </w:p>
    <w:p>
      <w:pPr>
        <w:keepNext/>
        <w:spacing w:after="80" w:before="160"/>
      </w:pPr>
      <w:r>
        <w:rPr>
          <w:b/>
          <w:bCs/>
          <w:color w:val="1F3864"/>
          <w:sz w:val="20"/>
          <w:szCs w:val="20"/>
        </w:rPr>
        <w:t xml:space="preserve">Table 10: Ljung–Box autocorrelation check of residuals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00"/>
        <w:gridCol w:w="1100"/>
        <w:gridCol w:w="5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To lag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Chi-square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DF</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Pr &gt; ChiSq</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Autocorrelations (first six lags of each block)</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3.28</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0.6571</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-0.152, 0.079, -0.192, -0.051, 0.017, 0.110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6.50</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0.8379</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-0.151, 0.080, -0.156, 0.052, -0.051, 0.079</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7.55</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17</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0.9753</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-0.036, 0.038, 0.012, 0.068, -0.068, 0.055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24</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10.18</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23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0.9901</w:t>
            </w:r>
          </w:p>
        </w:tc>
        <w:tc>
          <w:tcPr>
            <w:tcW w:type="dxa" w:w="5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0.050, 0.013, -0.068, -0.127, -0.048, 0.033</w:t>
            </w:r>
          </w:p>
        </w:tc>
      </w:tr>
    </w:tbl>
    <w:p>
      <w:pPr>
        <w:keepNext/>
        <w:spacing w:after="80" w:before="160"/>
      </w:pPr>
      <w:r>
        <w:rPr>
          <w:b/>
          <w:bCs/>
          <w:color w:val="1F3864"/>
          <w:sz w:val="20"/>
          <w:szCs w:val="20"/>
        </w:rPr>
        <w:t xml:space="preserve">Table 11: Diagnostic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538"/>
        <w:gridCol w:w="190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Diagnostic</w:t>
            </w:r>
          </w:p>
        </w:tc>
        <w:tc>
          <w:tcPr>
            <w:tcW w:type="dxa" w:w="45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Result</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Status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Residual ACF</w:t>
            </w:r>
          </w:p>
        </w:tc>
        <w:tc>
          <w:tcPr>
            <w:tcW w:type="dxa" w:w="4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No significant autocorrelations (all |r| &lt; 0.34)</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Pass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Residual PACF</w:t>
            </w:r>
          </w:p>
        </w:tc>
        <w:tc>
          <w:tcPr>
            <w:tcW w:type="dxa" w:w="4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No significant partial autocorrelations</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Pass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Ljung–Box test</w:t>
            </w:r>
          </w:p>
        </w:tc>
        <w:tc>
          <w:tcPr>
            <w:tcW w:type="dxa" w:w="4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p = 0.66 (lag 6), 0.84 (lag 12), 0.98 (lag 18), 0.99 (lag 24)</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Pass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Normality (Shapiro–Wilk)</w:t>
            </w:r>
          </w:p>
        </w:tc>
        <w:tc>
          <w:tcPr>
            <w:tcW w:type="dxa" w:w="45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W = 0.8585, p = 0.0004</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Fail</w:t>
            </w:r>
          </w:p>
        </w:tc>
      </w:tr>
    </w:tbl>
    <w:p>
      <w:pPr>
        <w:pBdr>
          <w:left w:val="single" w:color="1F3864" w:sz="18" w:space="8"/>
        </w:pBdr>
        <w:spacing w:after="160" w:before="120" w:line="276"/>
        <w:ind w:left="200"/>
      </w:pPr>
      <w:r>
        <w:rPr>
          <w:b/>
          <w:bCs/>
          <w:color w:val="1F3864"/>
        </w:rPr>
        <w:t xml:space="preserve">Ljung–Box interpretation: </w:t>
      </w:r>
      <w:r>
        <w:t xml:space="preserve">All p-values are greater than 0.05 (0.66 at lag 6 and 0.84 at lag 12), so we fail to reject the null hypothesis that the residuals are white noise. The model is adequate.</w:t>
      </w:r>
    </w:p>
    <w:p>
      <w:pPr>
        <w:keepNext/>
        <w:spacing w:after="80" w:before="160"/>
      </w:pPr>
      <w:r>
        <w:rPr>
          <w:b/>
          <w:bCs/>
        </w:rPr>
        <w:t xml:space="preserve">Normality test. </w:t>
      </w:r>
      <w:r>
        <w:t xml:space="preserve">Residuals were computed as actual minus forecast and tested with PROC UNIVARIATE:</w:t>
      </w:r>
    </w:p>
    <w:p>
      <w:pPr>
        <w:keepNext/>
        <w:keepLines/>
        <w:shd w:fill="F2F2F2" w:color="auto" w:val="clear"/>
        <w:spacing w:after="0" w:line="240"/>
        <w:ind w:left="120" w:right="120"/>
      </w:pPr>
      <w:r>
        <w:rPr>
          <w:rFonts w:ascii="Consolas" w:cs="Consolas" w:eastAsia="Consolas" w:hAnsi="Consolas"/>
          <w:sz w:val="18"/>
          <w:szCs w:val="18"/>
        </w:rPr>
        <w:t xml:space="preserve">data residuals;</w:t>
      </w:r>
    </w:p>
    <w:p>
      <w:pPr>
        <w:keepNext/>
        <w:keepLines/>
        <w:shd w:fill="F2F2F2" w:color="auto" w:val="clear"/>
        <w:spacing w:after="0" w:line="240"/>
        <w:ind w:left="120" w:right="120"/>
      </w:pPr>
      <w:r>
        <w:rPr>
          <w:rFonts w:ascii="Consolas" w:cs="Consolas" w:eastAsia="Consolas" w:hAnsi="Consolas"/>
          <w:sz w:val="18"/>
          <w:szCs w:val="18"/>
        </w:rPr>
        <w:t xml:space="preserve">   set forecast_results;</w:t>
      </w:r>
    </w:p>
    <w:p>
      <w:pPr>
        <w:keepNext/>
        <w:keepLines/>
        <w:shd w:fill="F2F2F2" w:color="auto" w:val="clear"/>
        <w:spacing w:after="0" w:line="240"/>
        <w:ind w:left="120" w:right="120"/>
      </w:pPr>
      <w:r>
        <w:rPr>
          <w:rFonts w:ascii="Consolas" w:cs="Consolas" w:eastAsia="Consolas" w:hAnsi="Consolas"/>
          <w:sz w:val="18"/>
          <w:szCs w:val="18"/>
        </w:rPr>
        <w:t xml:space="preserve">   residual = Sales - forecast;</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keepLines/>
        <w:shd w:fill="F2F2F2" w:color="auto" w:val="clear"/>
        <w:spacing w:after="0" w:line="240"/>
        <w:ind w:left="120" w:right="120"/>
      </w:pPr>
      <w:r>
        <w:rPr>
          <w:rFonts w:ascii="Consolas" w:cs="Consolas" w:eastAsia="Consolas" w:hAnsi="Consolas"/>
          <w:sz w:val="18"/>
          <w:szCs w:val="18"/>
        </w:rPr>
        <w:t xml:space="preserve"> </w:t>
      </w:r>
    </w:p>
    <w:p>
      <w:pPr>
        <w:keepNext/>
        <w:keepLines/>
        <w:shd w:fill="F2F2F2" w:color="auto" w:val="clear"/>
        <w:spacing w:after="0" w:line="240"/>
        <w:ind w:left="120" w:right="120"/>
      </w:pPr>
      <w:r>
        <w:rPr>
          <w:rFonts w:ascii="Consolas" w:cs="Consolas" w:eastAsia="Consolas" w:hAnsi="Consolas"/>
          <w:sz w:val="18"/>
          <w:szCs w:val="18"/>
        </w:rPr>
        <w:t xml:space="preserve">proc univariate data=residuals normal;</w:t>
      </w:r>
    </w:p>
    <w:p>
      <w:pPr>
        <w:keepNext/>
        <w:keepLines/>
        <w:shd w:fill="F2F2F2" w:color="auto" w:val="clear"/>
        <w:spacing w:after="0" w:line="240"/>
        <w:ind w:left="120" w:right="120"/>
      </w:pPr>
      <w:r>
        <w:rPr>
          <w:rFonts w:ascii="Consolas" w:cs="Consolas" w:eastAsia="Consolas" w:hAnsi="Consolas"/>
          <w:sz w:val="18"/>
          <w:szCs w:val="18"/>
        </w:rPr>
        <w:t xml:space="preserve">   var residual;</w:t>
      </w:r>
    </w:p>
    <w:p>
      <w:pPr>
        <w:keepNext/>
        <w:keepLines/>
        <w:shd w:fill="F2F2F2" w:color="auto" w:val="clear"/>
        <w:spacing w:after="0" w:line="240"/>
        <w:ind w:left="120" w:right="120"/>
      </w:pPr>
      <w:r>
        <w:rPr>
          <w:rFonts w:ascii="Consolas" w:cs="Consolas" w:eastAsia="Consolas" w:hAnsi="Consolas"/>
          <w:sz w:val="18"/>
          <w:szCs w:val="18"/>
        </w:rPr>
        <w:t xml:space="preserve">   histogram residual / normal;</w:t>
      </w:r>
    </w:p>
    <w:p>
      <w:pPr>
        <w:keepNext w:val="false"/>
        <w:keepLines/>
        <w:shd w:fill="F2F2F2" w:color="auto" w:val="clear"/>
        <w:spacing w:after="0" w:line="240"/>
        <w:ind w:left="120" w:right="120"/>
      </w:pPr>
      <w:r>
        <w:rPr>
          <w:rFonts w:ascii="Consolas" w:cs="Consolas" w:eastAsia="Consolas" w:hAnsi="Consolas"/>
          <w:sz w:val="18"/>
          <w:szCs w:val="18"/>
        </w:rPr>
        <w:t xml:space="preserve">run;</w:t>
      </w:r>
    </w:p>
    <w:p>
      <w:pPr>
        <w:spacing w:after="120"/>
      </w:pPr>
    </w:p>
    <w:p>
      <w:pPr>
        <w:keepNext/>
        <w:spacing w:after="80" w:before="160"/>
      </w:pPr>
      <w:r>
        <w:rPr>
          <w:b/>
          <w:bCs/>
          <w:color w:val="1F3864"/>
          <w:sz w:val="20"/>
          <w:szCs w:val="20"/>
        </w:rPr>
        <w:t xml:space="preserve">Table 12: Tests for normality of residuals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200"/>
        <w:gridCol w:w="21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Test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Statistic</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Value</w:t>
            </w:r>
          </w:p>
        </w:tc>
        <w:tc>
          <w:tcPr>
            <w:tcW w:type="dxa" w:w="21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center"/>
            </w:pPr>
            <w:r>
              <w:rPr>
                <w:b/>
                <w:bCs/>
                <w:color w:val="FFFFFF"/>
                <w:sz w:val="20"/>
                <w:szCs w:val="20"/>
              </w:rPr>
              <w:t xml:space="preserve">p-value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Shapiro–Wilk</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W</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0.858471</w:t>
            </w:r>
          </w:p>
        </w:tc>
        <w:tc>
          <w:tcPr>
            <w:tcW w:type="dxa" w:w="21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0.0004</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Kolmogorov–Smirnov</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D</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0.175796</w:t>
            </w:r>
          </w:p>
        </w:tc>
        <w:tc>
          <w:tcPr>
            <w:tcW w:type="dxa" w:w="21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&lt;0.0100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Cramér–von Mises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W-Sq</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0.233669</w:t>
            </w:r>
          </w:p>
        </w:tc>
        <w:tc>
          <w:tcPr>
            <w:tcW w:type="dxa" w:w="21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&lt;0.0050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Anderson–Darling</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A-Sq</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1.453092</w:t>
            </w:r>
          </w:p>
        </w:tc>
        <w:tc>
          <w:tcPr>
            <w:tcW w:type="dxa" w:w="21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center"/>
            </w:pPr>
            <w:r>
              <w:rPr>
                <w:b w:val="false"/>
                <w:bCs w:val="false"/>
                <w:sz w:val="20"/>
                <w:szCs w:val="20"/>
              </w:rPr>
              <w:t xml:space="preserve">&lt;0.0050</w:t>
            </w:r>
          </w:p>
        </w:tc>
      </w:tr>
    </w:tbl>
    <w:p>
      <w:pPr>
        <w:keepNext/>
        <w:spacing w:after="60" w:before="120"/>
        <w:jc w:val="center"/>
      </w:pPr>
      <w:r>
        <w:drawing>
          <wp:inline distT="0" distB="0" distL="0" distR="0">
            <wp:extent cx="3143250" cy="2381250"/>
            <wp:effectExtent t="0" r="0" b="0" l="0"/>
            <wp:docPr id="1" name="fig7" descr="SAS output 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381250"/>
                    </a:xfrm>
                    <a:prstGeom prst="rect">
                      <a:avLst/>
                    </a:prstGeom>
                  </pic:spPr>
                </pic:pic>
              </a:graphicData>
            </a:graphic>
          </wp:inline>
        </w:drawing>
      </w:r>
    </w:p>
    <w:p>
      <w:pPr>
        <w:spacing w:after="200"/>
        <w:jc w:val="center"/>
      </w:pPr>
      <w:r>
        <w:rPr>
          <w:i/>
          <w:iCs/>
          <w:color w:val="595959"/>
          <w:sz w:val="19"/>
          <w:szCs w:val="19"/>
        </w:rPr>
        <w:t xml:space="preserve">Figure 7: Residual distribution with fitted normal curve</w:t>
      </w:r>
    </w:p>
    <w:p>
      <w:pPr>
        <w:pBdr>
          <w:left w:val="single" w:color="1F3864" w:sz="18" w:space="8"/>
        </w:pBdr>
        <w:spacing w:after="160" w:before="120" w:line="276"/>
        <w:ind w:left="200"/>
      </w:pPr>
      <w:r>
        <w:rPr>
          <w:b/>
          <w:bCs/>
          <w:color w:val="1F3864"/>
        </w:rPr>
        <w:t xml:space="preserve">Interpretation: </w:t>
      </w:r>
      <w:r>
        <w:t xml:space="preserve">All four tests reject normality (Shapiro–Wilk p = 0.0004). The histogram shows a few large negative residuals in the left tail. Normal residuals are not required to fit or forecast with an ARIMA model; what matters most is that the residuals are uncorrelated, and the Ljung–Box test shows they are. The point forecasts remain valid, but the 95% intervals rely on approximate normality and should be read with some caution. Overall the model is </w:t>
      </w:r>
      <w:r>
        <w:rPr>
          <w:b/>
          <w:bCs/>
        </w:rPr>
        <w:t xml:space="preserve">adequate for forecasting</w:t>
      </w:r>
      <w:r>
        <w:t xml:space="preserve">.</w:t>
      </w:r>
    </w:p>
    <w:p>
      <w:pPr>
        <w:pStyle w:val="Heading2"/>
      </w:pPr>
      <w:r>
        <w:t xml:space="preserve">Task 7: Forecasting (2026–2027)</w:t>
      </w:r>
    </w:p>
    <w:p>
      <w:pPr>
        <w:keepNext/>
        <w:keepLines/>
        <w:shd w:fill="F2F2F2" w:color="auto" w:val="clear"/>
        <w:spacing w:after="0" w:line="240"/>
        <w:ind w:left="120" w:right="120"/>
      </w:pPr>
      <w:r>
        <w:rPr>
          <w:rFonts w:ascii="Consolas" w:cs="Consolas" w:eastAsia="Consolas" w:hAnsi="Consolas"/>
          <w:sz w:val="18"/>
          <w:szCs w:val="18"/>
        </w:rPr>
        <w:t xml:space="preserve">proc arima data=sales;</w:t>
      </w:r>
    </w:p>
    <w:p>
      <w:pPr>
        <w:keepNext/>
        <w:keepLines/>
        <w:shd w:fill="F2F2F2" w:color="auto" w:val="clear"/>
        <w:spacing w:after="0" w:line="240"/>
        <w:ind w:left="120" w:right="120"/>
      </w:pPr>
      <w:r>
        <w:rPr>
          <w:rFonts w:ascii="Consolas" w:cs="Consolas" w:eastAsia="Consolas" w:hAnsi="Consolas"/>
          <w:sz w:val="18"/>
          <w:szCs w:val="18"/>
        </w:rPr>
        <w:t xml:space="preserve">   identify var=Sales(1,4);</w:t>
      </w:r>
    </w:p>
    <w:p>
      <w:pPr>
        <w:keepNext/>
        <w:keepLines/>
        <w:shd w:fill="F2F2F2" w:color="auto" w:val="clear"/>
        <w:spacing w:after="0" w:line="240"/>
        <w:ind w:left="120" w:right="120"/>
      </w:pPr>
      <w:r>
        <w:rPr>
          <w:rFonts w:ascii="Consolas" w:cs="Consolas" w:eastAsia="Consolas" w:hAnsi="Consolas"/>
          <w:sz w:val="18"/>
          <w:szCs w:val="18"/>
        </w:rPr>
        <w:t xml:space="preserve">   estimate q=(4) method=ml;</w:t>
      </w:r>
    </w:p>
    <w:p>
      <w:pPr>
        <w:keepNext/>
        <w:keepLines/>
        <w:shd w:fill="F2F2F2" w:color="auto" w:val="clear"/>
        <w:spacing w:after="0" w:line="240"/>
        <w:ind w:left="120" w:right="120"/>
      </w:pPr>
      <w:r>
        <w:rPr>
          <w:rFonts w:ascii="Consolas" w:cs="Consolas" w:eastAsia="Consolas" w:hAnsi="Consolas"/>
          <w:sz w:val="18"/>
          <w:szCs w:val="18"/>
        </w:rPr>
        <w:t xml:space="preserve">   forecast lead=8 out=forecast_results;</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val="false"/>
        <w:keepLines/>
        <w:shd w:fill="F2F2F2" w:color="auto" w:val="clear"/>
        <w:spacing w:after="0" w:line="240"/>
        <w:ind w:left="120" w:right="120"/>
      </w:pPr>
      <w:r>
        <w:rPr>
          <w:rFonts w:ascii="Consolas" w:cs="Consolas" w:eastAsia="Consolas" w:hAnsi="Consolas"/>
          <w:sz w:val="18"/>
          <w:szCs w:val="18"/>
        </w:rPr>
        <w:t xml:space="preserve">quit;</w:t>
      </w:r>
    </w:p>
    <w:p>
      <w:pPr>
        <w:spacing w:after="120"/>
      </w:pPr>
    </w:p>
    <w:p>
      <w:pPr>
        <w:keepNext/>
        <w:spacing w:after="80" w:before="160"/>
      </w:pPr>
      <w:r>
        <w:rPr>
          <w:b/>
          <w:bCs/>
          <w:color w:val="1F3864"/>
          <w:sz w:val="20"/>
          <w:szCs w:val="20"/>
        </w:rPr>
        <w:t xml:space="preserve">Table 13: Sales forecast for 2026–2027 (ZAR ’000)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27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left"/>
            </w:pPr>
            <w:r>
              <w:rPr>
                <w:b/>
                <w:bCs/>
                <w:color w:val="FFFFFF"/>
                <w:sz w:val="20"/>
                <w:szCs w:val="20"/>
              </w:rPr>
              <w:t xml:space="preserve">Quarter</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Forecast</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Lower 95%</w:t>
            </w:r>
          </w:p>
        </w:tc>
        <w:tc>
          <w:tcPr>
            <w:tcW w:type="dxa" w:w="227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val="false"/>
              <w:jc w:val="center"/>
            </w:pPr>
            <w:r>
              <w:rPr>
                <w:b/>
                <w:bCs/>
                <w:color w:val="FFFFFF"/>
                <w:sz w:val="20"/>
                <w:szCs w:val="20"/>
              </w:rPr>
              <w:t xml:space="preserve">Upper 95%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2026 Q1</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5,833</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5,687</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5,979</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2026 Q2</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6,247</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6,041</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6,453</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2026 Q3</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6,511</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6,259</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6,764</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2026 Q4</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7,063</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6,772</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7,355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2027 Q1</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6,919</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6,531</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7,307</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2027 Q2</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7,355</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6,890</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7,821</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2027 Q3</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7,642</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7,111</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8,174</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left"/>
            </w:pPr>
            <w:r>
              <w:rPr>
                <w:b w:val="false"/>
                <w:bCs w:val="false"/>
                <w:sz w:val="20"/>
                <w:szCs w:val="20"/>
              </w:rPr>
              <w:t xml:space="preserve">2027 Q4</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8,216</w:t>
            </w:r>
          </w:p>
        </w:tc>
        <w:tc>
          <w:tcPr>
            <w:tcW w:type="dxa" w:w="2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7,626</w:t>
            </w:r>
          </w:p>
        </w:tc>
        <w:tc>
          <w:tcPr>
            <w:tcW w:type="dxa" w:w="227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val="false"/>
              <w:jc w:val="center"/>
            </w:pPr>
            <w:r>
              <w:rPr>
                <w:b w:val="false"/>
                <w:bCs w:val="false"/>
                <w:sz w:val="20"/>
                <w:szCs w:val="20"/>
              </w:rPr>
              <w:t xml:space="preserve">8,806</w:t>
            </w:r>
          </w:p>
        </w:tc>
      </w:tr>
    </w:tbl>
    <w:p>
      <w:pPr>
        <w:keepNext/>
        <w:spacing w:after="60" w:before="120"/>
        <w:jc w:val="center"/>
      </w:pPr>
      <w:r>
        <w:drawing>
          <wp:inline distT="0" distB="0" distL="0" distR="0">
            <wp:extent cx="4095750" cy="3076575"/>
            <wp:effectExtent t="0" r="0" b="0" l="0"/>
            <wp:docPr id="1" name="fig8" descr="SAS output 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076575"/>
                    </a:xfrm>
                    <a:prstGeom prst="rect">
                      <a:avLst/>
                    </a:prstGeom>
                  </pic:spPr>
                </pic:pic>
              </a:graphicData>
            </a:graphic>
          </wp:inline>
        </w:drawing>
      </w:r>
    </w:p>
    <w:p>
      <w:pPr>
        <w:spacing w:after="200"/>
        <w:jc w:val="center"/>
      </w:pPr>
      <w:r>
        <w:rPr>
          <w:i/>
          <w:iCs/>
          <w:color w:val="595959"/>
          <w:sz w:val="19"/>
          <w:szCs w:val="19"/>
        </w:rPr>
        <w:t xml:space="preserve">Figure 8: Actual and forecast sales, 2024 Q1 – 2027 Q4, with 95% confidence band</w:t>
      </w:r>
    </w:p>
    <w:p>
      <w:pPr>
        <w:keepNext/>
        <w:spacing w:after="60" w:before="160"/>
      </w:pPr>
      <w:r>
        <w:rPr>
          <w:b/>
          <w:bCs/>
        </w:rPr>
        <w:t xml:space="preserve">Key findings from the forecasts</w:t>
      </w:r>
    </w:p>
    <w:p>
      <w:pPr>
        <w:pStyle w:val="ListParagraph"/>
        <w:numPr>
          <w:ilvl w:val="0"/>
          <w:numId w:val="3"/>
        </w:numPr>
        <w:spacing w:after="60"/>
      </w:pPr>
      <w:r>
        <w:rPr>
          <w:b/>
          <w:bCs/>
        </w:rPr>
        <w:t xml:space="preserve">Continued growth. </w:t>
      </w:r>
      <w:r>
        <w:t xml:space="preserve">Sales keep rising, from 5,833 in 2026 Q1 to 8,216 in 2027 Q4.</w:t>
      </w:r>
    </w:p>
    <w:p>
      <w:pPr>
        <w:pStyle w:val="ListParagraph"/>
        <w:numPr>
          <w:ilvl w:val="0"/>
          <w:numId w:val="3"/>
        </w:numPr>
        <w:spacing w:after="60"/>
      </w:pPr>
      <w:r>
        <w:rPr>
          <w:b/>
          <w:bCs/>
        </w:rPr>
        <w:t xml:space="preserve">Persistent seasonality. </w:t>
      </w:r>
      <w:r>
        <w:t xml:space="preserve">Q4 remains the peak quarter and each Q1 dips below the preceding Q4 (for example 7,063 in 2026 Q4 versus 6,919 in 2027 Q1).</w:t>
      </w:r>
    </w:p>
    <w:p>
      <w:pPr>
        <w:pStyle w:val="ListParagraph"/>
        <w:numPr>
          <w:ilvl w:val="0"/>
          <w:numId w:val="3"/>
        </w:numPr>
        <w:spacing w:after="60"/>
      </w:pPr>
      <w:r>
        <w:rPr>
          <w:b/>
          <w:bCs/>
        </w:rPr>
        <w:t xml:space="preserve">Growing uncertainty. </w:t>
      </w:r>
      <w:r>
        <w:t xml:space="preserve">The 95% interval widens from ±146 in 2026 Q1 to ±590 in 2027 Q4.</w:t>
      </w:r>
    </w:p>
    <w:p>
      <w:pPr>
        <w:pStyle w:val="ListParagraph"/>
        <w:numPr>
          <w:ilvl w:val="0"/>
          <w:numId w:val="3"/>
        </w:numPr>
        <w:spacing w:after="60"/>
      </w:pPr>
      <w:r>
        <w:rPr>
          <w:b/>
          <w:bCs/>
        </w:rPr>
        <w:t xml:space="preserve">Reliability. </w:t>
      </w:r>
      <w:r>
        <w:t xml:space="preserve">Residuals pass the Ljung–Box test (p &gt; 0.05), so the forecasts are suitable for business planning, bearing in mind the normality caveat above.</w:t>
      </w:r>
    </w:p>
    <w:p>
      <w:pPr>
        <w:pStyle w:val="Heading1"/>
      </w:pPr>
      <w:r>
        <w:t xml:space="preserve">4. Conclusion</w:t>
      </w:r>
    </w:p>
    <w:p>
      <w:pPr>
        <w:keepNext/>
        <w:spacing w:after="120" w:line="276"/>
      </w:pPr>
      <w:r>
        <w:t xml:space="preserve">The Box–Jenkins methodology was applied to quarterly sales for 2016–2025. The main results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Finding</w:t>
            </w:r>
          </w:p>
        </w:tc>
        <w:tc>
          <w:tcPr>
            <w:tcW w:type="dxa" w:w="66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Result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Selected model</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ARIMA(0,1,0)(0,1,1)₄ (lowest AIC and SBC)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Differencing</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d = 1, D = 1, s = 4</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Trend</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Strong upward growth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Seasonality</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Consistent Q4 peaks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Model adequacy</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Residuals are white noise (Ljung–Box p &gt; 0.05); not normal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Forecast horizon</w:t>
            </w:r>
          </w:p>
        </w:tc>
        <w:tc>
          <w:tcPr>
            <w:tcW w:type="dxa" w:w="66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8 quarters (2026 Q1 – 2027 Q4)</w:t>
            </w:r>
          </w:p>
        </w:tc>
      </w:tr>
    </w:tbl>
    <w:p>
      <w:pPr>
        <w:pStyle w:val="Heading1"/>
      </w:pPr>
      <w:r>
        <w:t xml:space="preserve">5. Recommendations</w:t>
      </w:r>
    </w:p>
    <w:p>
      <w:pPr>
        <w:keepNext/>
        <w:spacing w:after="120" w:line="276"/>
      </w:pPr>
      <w:r>
        <w:t xml:space="preserve">Based on the analysis, the following recommendations are made to the retail 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38"/>
        <w:gridCol w:w="24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Recommendation</w:t>
            </w:r>
          </w:p>
        </w:tc>
        <w:tc>
          <w:tcPr>
            <w:tcW w:type="dxa" w:w="4238"/>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Rationale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keepNext/>
              <w:jc w:val="left"/>
            </w:pPr>
            <w:r>
              <w:rPr>
                <w:b/>
                <w:bCs/>
                <w:color w:val="FFFFFF"/>
                <w:sz w:val="20"/>
                <w:szCs w:val="20"/>
              </w:rPr>
              <w:t xml:space="preserve">Timeline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Increase Q4 inventory</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Consistent seasonal Q4 peaks</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Annually, by September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Hire seasonal staff</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Q4 sales volume needs extra support</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Q3–Q4 each year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Allocate marketing budget to the pre-Q4 period</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Maximise return during the peak season</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August–September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Consider business expansion</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Strong, sustained growth trend</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2026–2027</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Plan for the Q1 dip</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Q1 sales fall back after the Q4 peak</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Q1 annually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Update forecasts quarterly</w:t>
            </w:r>
          </w:p>
        </w:tc>
        <w:tc>
          <w:tcPr>
            <w:tcW w:type="dxa" w:w="4238"/>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Improve accuracy as new data arrive</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jc w:val="left"/>
            </w:pPr>
            <w:r>
              <w:rPr>
                <w:b w:val="false"/>
                <w:bCs w:val="false"/>
                <w:sz w:val="20"/>
                <w:szCs w:val="20"/>
              </w:rPr>
              <w:t xml:space="preserve">Every quarter</w:t>
            </w:r>
          </w:p>
        </w:tc>
      </w:tr>
    </w:tbl>
    <w:p>
      <w:r>
        <w:br w:type="page"/>
      </w:r>
    </w:p>
    <w:p>
      <w:pPr>
        <w:pStyle w:val="Heading1"/>
      </w:pPr>
      <w:r>
        <w:t xml:space="preserve">Appendix A: SAS data step and time series plot</w:t>
      </w:r>
    </w:p>
    <w:p>
      <w:pPr>
        <w:keepNext/>
        <w:keepLines/>
        <w:shd w:fill="F2F2F2" w:color="auto" w:val="clear"/>
        <w:spacing w:after="0" w:line="240"/>
        <w:ind w:left="120" w:right="120"/>
      </w:pPr>
      <w:r>
        <w:rPr>
          <w:rFonts w:ascii="Consolas" w:cs="Consolas" w:eastAsia="Consolas" w:hAnsi="Consolas"/>
          <w:sz w:val="18"/>
          <w:szCs w:val="18"/>
        </w:rPr>
        <w:t xml:space="preserve">data sales;</w:t>
      </w:r>
    </w:p>
    <w:p>
      <w:pPr>
        <w:keepNext/>
        <w:keepLines/>
        <w:shd w:fill="F2F2F2" w:color="auto" w:val="clear"/>
        <w:spacing w:after="0" w:line="240"/>
        <w:ind w:left="120" w:right="120"/>
      </w:pPr>
      <w:r>
        <w:rPr>
          <w:rFonts w:ascii="Consolas" w:cs="Consolas" w:eastAsia="Consolas" w:hAnsi="Consolas"/>
          <w:sz w:val="18"/>
          <w:szCs w:val="18"/>
        </w:rPr>
        <w:t xml:space="preserve">   format Quarter yyq6.;</w:t>
      </w:r>
    </w:p>
    <w:p>
      <w:pPr>
        <w:keepNext/>
        <w:keepLines/>
        <w:shd w:fill="F2F2F2" w:color="auto" w:val="clear"/>
        <w:spacing w:after="0" w:line="240"/>
        <w:ind w:left="120" w:right="120"/>
      </w:pPr>
      <w:r>
        <w:rPr>
          <w:rFonts w:ascii="Consolas" w:cs="Consolas" w:eastAsia="Consolas" w:hAnsi="Consolas"/>
          <w:sz w:val="18"/>
          <w:szCs w:val="18"/>
        </w:rPr>
        <w:t xml:space="preserve">   input Quarter : yyq6. Sales;</w:t>
      </w:r>
    </w:p>
    <w:p>
      <w:pPr>
        <w:keepNext/>
        <w:keepLines/>
        <w:shd w:fill="F2F2F2" w:color="auto" w:val="clear"/>
        <w:spacing w:after="0" w:line="240"/>
        <w:ind w:left="120" w:right="120"/>
      </w:pPr>
      <w:r>
        <w:rPr>
          <w:rFonts w:ascii="Consolas" w:cs="Consolas" w:eastAsia="Consolas" w:hAnsi="Consolas"/>
          <w:sz w:val="18"/>
          <w:szCs w:val="18"/>
        </w:rPr>
        <w:t xml:space="preserve">   datalines;</w:t>
      </w:r>
    </w:p>
    <w:p>
      <w:pPr>
        <w:keepNext/>
        <w:keepLines/>
        <w:shd w:fill="F2F2F2" w:color="auto" w:val="clear"/>
        <w:spacing w:after="0" w:line="240"/>
        <w:ind w:left="120" w:right="120"/>
      </w:pPr>
      <w:r>
        <w:rPr>
          <w:rFonts w:ascii="Consolas" w:cs="Consolas" w:eastAsia="Consolas" w:hAnsi="Consolas"/>
          <w:sz w:val="18"/>
          <w:szCs w:val="18"/>
        </w:rPr>
        <w:t xml:space="preserve">   2016Q1 900   2016Q2 980   2016Q3 1020   2016Q4 1150</w:t>
      </w:r>
    </w:p>
    <w:p>
      <w:pPr>
        <w:keepNext/>
        <w:keepLines/>
        <w:shd w:fill="F2F2F2" w:color="auto" w:val="clear"/>
        <w:spacing w:after="0" w:line="240"/>
        <w:ind w:left="120" w:right="120"/>
      </w:pPr>
      <w:r>
        <w:rPr>
          <w:rFonts w:ascii="Consolas" w:cs="Consolas" w:eastAsia="Consolas" w:hAnsi="Consolas"/>
          <w:sz w:val="18"/>
          <w:szCs w:val="18"/>
        </w:rPr>
        <w:t xml:space="preserve">   2017Q1 1100   2017Q2 1200   2017Q3 1250   2017Q4 1400</w:t>
      </w:r>
    </w:p>
    <w:p>
      <w:pPr>
        <w:keepNext/>
        <w:keepLines/>
        <w:shd w:fill="F2F2F2" w:color="auto" w:val="clear"/>
        <w:spacing w:after="0" w:line="240"/>
        <w:ind w:left="120" w:right="120"/>
      </w:pPr>
      <w:r>
        <w:rPr>
          <w:rFonts w:ascii="Consolas" w:cs="Consolas" w:eastAsia="Consolas" w:hAnsi="Consolas"/>
          <w:sz w:val="18"/>
          <w:szCs w:val="18"/>
        </w:rPr>
        <w:t xml:space="preserve">   2018Q1 1350   2018Q2 1480   2018Q3 1550   2018Q4 1720</w:t>
      </w:r>
    </w:p>
    <w:p>
      <w:pPr>
        <w:keepNext/>
        <w:keepLines/>
        <w:shd w:fill="F2F2F2" w:color="auto" w:val="clear"/>
        <w:spacing w:after="0" w:line="240"/>
        <w:ind w:left="120" w:right="120"/>
      </w:pPr>
      <w:r>
        <w:rPr>
          <w:rFonts w:ascii="Consolas" w:cs="Consolas" w:eastAsia="Consolas" w:hAnsi="Consolas"/>
          <w:sz w:val="18"/>
          <w:szCs w:val="18"/>
        </w:rPr>
        <w:t xml:space="preserve">   2019Q1 1650   2019Q2 1800   2019Q3 1880   2019Q4 2100</w:t>
      </w:r>
    </w:p>
    <w:p>
      <w:pPr>
        <w:keepNext/>
        <w:keepLines/>
        <w:shd w:fill="F2F2F2" w:color="auto" w:val="clear"/>
        <w:spacing w:after="0" w:line="240"/>
        <w:ind w:left="120" w:right="120"/>
      </w:pPr>
      <w:r>
        <w:rPr>
          <w:rFonts w:ascii="Consolas" w:cs="Consolas" w:eastAsia="Consolas" w:hAnsi="Consolas"/>
          <w:sz w:val="18"/>
          <w:szCs w:val="18"/>
        </w:rPr>
        <w:t xml:space="preserve">   2020Q1 2000   2020Q2 1900   2020Q3 2050   2020Q4 2300</w:t>
      </w:r>
    </w:p>
    <w:p>
      <w:pPr>
        <w:keepNext/>
        <w:keepLines/>
        <w:shd w:fill="F2F2F2" w:color="auto" w:val="clear"/>
        <w:spacing w:after="0" w:line="240"/>
        <w:ind w:left="120" w:right="120"/>
      </w:pPr>
      <w:r>
        <w:rPr>
          <w:rFonts w:ascii="Consolas" w:cs="Consolas" w:eastAsia="Consolas" w:hAnsi="Consolas"/>
          <w:sz w:val="18"/>
          <w:szCs w:val="18"/>
        </w:rPr>
        <w:t xml:space="preserve">   2021Q1 2250   2021Q2 2450   2021Q3 2550   2021Q4 2850</w:t>
      </w:r>
    </w:p>
    <w:p>
      <w:pPr>
        <w:keepNext/>
        <w:keepLines/>
        <w:shd w:fill="F2F2F2" w:color="auto" w:val="clear"/>
        <w:spacing w:after="0" w:line="240"/>
        <w:ind w:left="120" w:right="120"/>
      </w:pPr>
      <w:r>
        <w:rPr>
          <w:rFonts w:ascii="Consolas" w:cs="Consolas" w:eastAsia="Consolas" w:hAnsi="Consolas"/>
          <w:sz w:val="18"/>
          <w:szCs w:val="18"/>
        </w:rPr>
        <w:t xml:space="preserve">   2022Q1 2750   2022Q2 3000   2022Q3 3150   2022Q4 3500</w:t>
      </w:r>
    </w:p>
    <w:p>
      <w:pPr>
        <w:keepNext/>
        <w:keepLines/>
        <w:shd w:fill="F2F2F2" w:color="auto" w:val="clear"/>
        <w:spacing w:after="0" w:line="240"/>
        <w:ind w:left="120" w:right="120"/>
      </w:pPr>
      <w:r>
        <w:rPr>
          <w:rFonts w:ascii="Consolas" w:cs="Consolas" w:eastAsia="Consolas" w:hAnsi="Consolas"/>
          <w:sz w:val="18"/>
          <w:szCs w:val="18"/>
        </w:rPr>
        <w:t xml:space="preserve">   2023Q1 3350   2023Q2 3650   2023Q3 3800   2023Q4 4200</w:t>
      </w:r>
    </w:p>
    <w:p>
      <w:pPr>
        <w:keepNext/>
        <w:keepLines/>
        <w:shd w:fill="F2F2F2" w:color="auto" w:val="clear"/>
        <w:spacing w:after="0" w:line="240"/>
        <w:ind w:left="120" w:right="120"/>
      </w:pPr>
      <w:r>
        <w:rPr>
          <w:rFonts w:ascii="Consolas" w:cs="Consolas" w:eastAsia="Consolas" w:hAnsi="Consolas"/>
          <w:sz w:val="18"/>
          <w:szCs w:val="18"/>
        </w:rPr>
        <w:t xml:space="preserve">   2024Q1 4000   2024Q2 4350   2024Q3 4550   2024Q4 5000</w:t>
      </w:r>
    </w:p>
    <w:p>
      <w:pPr>
        <w:keepNext/>
        <w:keepLines/>
        <w:shd w:fill="F2F2F2" w:color="auto" w:val="clear"/>
        <w:spacing w:after="0" w:line="240"/>
        <w:ind w:left="120" w:right="120"/>
      </w:pPr>
      <w:r>
        <w:rPr>
          <w:rFonts w:ascii="Consolas" w:cs="Consolas" w:eastAsia="Consolas" w:hAnsi="Consolas"/>
          <w:sz w:val="18"/>
          <w:szCs w:val="18"/>
        </w:rPr>
        <w:t xml:space="preserve">   2025Q1 4800   2025Q2 5200   2025Q3 5450   2025Q4 6000</w:t>
      </w:r>
    </w:p>
    <w:p>
      <w:pPr>
        <w:keepNext/>
        <w:keepLines/>
        <w:shd w:fill="F2F2F2" w:color="auto" w:val="clear"/>
        <w:spacing w:after="0" w:line="240"/>
        <w:ind w:left="120" w:right="120"/>
      </w:pPr>
      <w:r>
        <w:rPr>
          <w:rFonts w:ascii="Consolas" w:cs="Consolas" w:eastAsia="Consolas" w:hAnsi="Consolas"/>
          <w:sz w:val="18"/>
          <w:szCs w:val="18"/>
        </w:rPr>
        <w:t xml:space="preserve">   ;</w:t>
      </w:r>
    </w:p>
    <w:p>
      <w:pPr>
        <w:keepNext/>
        <w:keepLines/>
        <w:shd w:fill="F2F2F2" w:color="auto" w:val="clear"/>
        <w:spacing w:after="0" w:line="240"/>
        <w:ind w:left="120" w:right="120"/>
      </w:pPr>
      <w:r>
        <w:rPr>
          <w:rFonts w:ascii="Consolas" w:cs="Consolas" w:eastAsia="Consolas" w:hAnsi="Consolas"/>
          <w:sz w:val="18"/>
          <w:szCs w:val="18"/>
        </w:rPr>
        <w:t xml:space="preserve">run;</w:t>
      </w:r>
    </w:p>
    <w:p>
      <w:pPr>
        <w:keepNext/>
        <w:keepLines/>
        <w:shd w:fill="F2F2F2" w:color="auto" w:val="clear"/>
        <w:spacing w:after="0" w:line="240"/>
        <w:ind w:left="120" w:right="120"/>
      </w:pPr>
      <w:r>
        <w:rPr>
          <w:rFonts w:ascii="Consolas" w:cs="Consolas" w:eastAsia="Consolas" w:hAnsi="Consolas"/>
          <w:sz w:val="18"/>
          <w:szCs w:val="18"/>
        </w:rPr>
        <w:t xml:space="preserve"> </w:t>
      </w:r>
    </w:p>
    <w:p>
      <w:pPr>
        <w:keepNext/>
        <w:keepLines/>
        <w:shd w:fill="F2F2F2" w:color="auto" w:val="clear"/>
        <w:spacing w:after="0" w:line="240"/>
        <w:ind w:left="120" w:right="120"/>
      </w:pPr>
      <w:r>
        <w:rPr>
          <w:rFonts w:ascii="Consolas" w:cs="Consolas" w:eastAsia="Consolas" w:hAnsi="Consolas"/>
          <w:sz w:val="18"/>
          <w:szCs w:val="18"/>
        </w:rPr>
        <w:t xml:space="preserve">proc sgplot data=sales;</w:t>
      </w:r>
    </w:p>
    <w:p>
      <w:pPr>
        <w:keepNext/>
        <w:keepLines/>
        <w:shd w:fill="F2F2F2" w:color="auto" w:val="clear"/>
        <w:spacing w:after="0" w:line="240"/>
        <w:ind w:left="120" w:right="120"/>
      </w:pPr>
      <w:r>
        <w:rPr>
          <w:rFonts w:ascii="Consolas" w:cs="Consolas" w:eastAsia="Consolas" w:hAnsi="Consolas"/>
          <w:sz w:val="18"/>
          <w:szCs w:val="18"/>
        </w:rPr>
        <w:t xml:space="preserve">   series x=Quarter y=Sales / markers;</w:t>
      </w:r>
    </w:p>
    <w:p>
      <w:pPr>
        <w:keepNext/>
        <w:keepLines/>
        <w:shd w:fill="F2F2F2" w:color="auto" w:val="clear"/>
        <w:spacing w:after="0" w:line="240"/>
        <w:ind w:left="120" w:right="120"/>
      </w:pPr>
      <w:r>
        <w:rPr>
          <w:rFonts w:ascii="Consolas" w:cs="Consolas" w:eastAsia="Consolas" w:hAnsi="Consolas"/>
          <w:sz w:val="18"/>
          <w:szCs w:val="18"/>
        </w:rPr>
        <w:t xml:space="preserve">   xaxis label="Year";</w:t>
      </w:r>
    </w:p>
    <w:p>
      <w:pPr>
        <w:keepNext/>
        <w:keepLines/>
        <w:shd w:fill="F2F2F2" w:color="auto" w:val="clear"/>
        <w:spacing w:after="0" w:line="240"/>
        <w:ind w:left="120" w:right="120"/>
      </w:pPr>
      <w:r>
        <w:rPr>
          <w:rFonts w:ascii="Consolas" w:cs="Consolas" w:eastAsia="Consolas" w:hAnsi="Consolas"/>
          <w:sz w:val="18"/>
          <w:szCs w:val="18"/>
        </w:rPr>
        <w:t xml:space="preserve">   yaxis label="Sales (ZAR 000)";</w:t>
      </w:r>
    </w:p>
    <w:p>
      <w:pPr>
        <w:keepNext/>
        <w:keepLines/>
        <w:shd w:fill="F2F2F2" w:color="auto" w:val="clear"/>
        <w:spacing w:after="0" w:line="240"/>
        <w:ind w:left="120" w:right="120"/>
      </w:pPr>
      <w:r>
        <w:rPr>
          <w:rFonts w:ascii="Consolas" w:cs="Consolas" w:eastAsia="Consolas" w:hAnsi="Consolas"/>
          <w:sz w:val="18"/>
          <w:szCs w:val="18"/>
        </w:rPr>
        <w:t xml:space="preserve">   title "Quarterly Sales (2016-2025)";</w:t>
      </w:r>
    </w:p>
    <w:p>
      <w:pPr>
        <w:keepNext w:val="false"/>
        <w:keepLines/>
        <w:shd w:fill="F2F2F2" w:color="auto" w:val="clear"/>
        <w:spacing w:after="0" w:line="240"/>
        <w:ind w:left="120" w:right="120"/>
      </w:pPr>
      <w:r>
        <w:rPr>
          <w:rFonts w:ascii="Consolas" w:cs="Consolas" w:eastAsia="Consolas" w:hAnsi="Consolas"/>
          <w:sz w:val="18"/>
          <w:szCs w:val="18"/>
        </w:rPr>
        <w:t xml:space="preserve">run;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STFM 312  |  Neo Mthembu (36321389)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EAADB" w:sz="6" w:space="2"/>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8959a22a1dac18d912bdb66a22f66c696d8996.png"/><Relationship Id="rId10" Type="http://schemas.openxmlformats.org/officeDocument/2006/relationships/image" Target="media/b86630e30bc1c4c87fea96f22002b434b1e63566.png"/><Relationship Id="rId11" Type="http://schemas.openxmlformats.org/officeDocument/2006/relationships/image" Target="media/c7d94a1aa743f287f443d590982000d414001af7.png"/><Relationship Id="rId12" Type="http://schemas.openxmlformats.org/officeDocument/2006/relationships/image" Target="media/cd97c8b961e60fc985161215fa3fd8d643c03755.png"/><Relationship Id="rId13" Type="http://schemas.openxmlformats.org/officeDocument/2006/relationships/image" Target="media/f56100d32b6ca9ee36b782ca4c04e727483ed132.png"/><Relationship Id="rId14" Type="http://schemas.openxmlformats.org/officeDocument/2006/relationships/image" Target="media/8101a1f5177d30129953eea771ec8825c6ad88df.png"/><Relationship Id="rId15" Type="http://schemas.openxmlformats.org/officeDocument/2006/relationships/image" Target="media/3aac36ee74e84add73f8e85508f27d33deebe4d0.png"/><Relationship Id="rId16" Type="http://schemas.openxmlformats.org/officeDocument/2006/relationships/image" Target="media/9715d1650f0b166d4b7ae46b4a822d8a1e5d2fa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STFM 312 Assignment: Box–Jenkins Modelling of Quarterly Sales</dc:title>
  <dc:creator>Neo Mthembu</dc:creator>
  <cp:lastModifiedBy>Un-named</cp:lastModifiedBy>
  <cp:revision>1</cp:revision>
  <dcterms:created xsi:type="dcterms:W3CDTF">2026-10-03T10:57:55.226Z</dcterms:created>
  <dcterms:modified xsi:type="dcterms:W3CDTF">2026-10-03T10:57:55.226Z</dcterms:modified>
</cp:coreProperties>
</file>

<file path=docProps/custom.xml><?xml version="1.0" encoding="utf-8"?>
<Properties xmlns="http://schemas.openxmlformats.org/officeDocument/2006/custom-properties" xmlns:vt="http://schemas.openxmlformats.org/officeDocument/2006/docPropsVTypes"/>
</file>