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14584A"/>
          <w:sz w:val="24"/>
        </w:rPr>
        <w:t>ООО «Окстех»</w:t>
      </w:r>
    </w:p>
    <w:p>
      <w:pPr>
        <w:spacing w:after="0"/>
      </w:pPr>
      <w:r>
        <w:rPr>
          <w:b w:val="0"/>
          <w:i w:val="0"/>
          <w:color w:val="5E6D68"/>
          <w:sz w:val="20"/>
        </w:rPr>
        <w:t>Москва · oxteam.me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4584A"/>
          <w:sz w:val="52"/>
        </w:rPr>
        <w:t>ГОРОДСКАЯ ФАБРИКА ИИ-АГЕНТОВ</w:t>
      </w:r>
    </w:p>
    <w:p>
      <w:pPr>
        <w:spacing w:after="480"/>
        <w:jc w:val="center"/>
      </w:pPr>
      <w:r>
        <w:rPr>
          <w:b w:val="0"/>
          <w:i w:val="0"/>
          <w:color w:val="212826"/>
          <w:sz w:val="28"/>
        </w:rPr>
        <w:t>Техническая концепция платформы и обоснование архитектурных решений</w:t>
      </w:r>
    </w:p>
    <w:p>
      <w:pPr>
        <w:spacing w:after="120"/>
        <w:jc w:val="center"/>
      </w:pPr>
      <w:r>
        <w:rPr>
          <w:b w:val="0"/>
          <w:i/>
          <w:color w:val="5E6D68"/>
          <w:sz w:val="22"/>
        </w:rPr>
        <w:t>Подготовлено для Департамента информационных технологий города Москвы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  <w:jc w:val="center"/>
      </w:pPr>
      <w:r>
        <w:rPr>
          <w:b w:val="0"/>
          <w:i w:val="0"/>
          <w:color w:val="5E6D68"/>
          <w:sz w:val="22"/>
        </w:rPr>
        <w:t>Москва, 20 июля 2026 года</w:t>
      </w:r>
    </w:p>
    <w:p>
      <w:pPr>
        <w:spacing w:after="40"/>
        <w:jc w:val="center"/>
      </w:pPr>
      <w:r>
        <w:rPr>
          <w:b w:val="0"/>
          <w:i w:val="0"/>
          <w:color w:val="5E6D68"/>
          <w:sz w:val="20"/>
        </w:rPr>
        <w:t>ООО «Окстех» · ИНН 9721254914 · участник Московского инновационного кластера</w:t>
      </w:r>
    </w:p>
    <w:p>
      <w:pPr>
        <w:spacing w:after="120"/>
        <w:jc w:val="center"/>
      </w:pPr>
      <w:r>
        <w:rPr>
          <w:b w:val="0"/>
          <w:i w:val="0"/>
          <w:color w:val="5E6D68"/>
          <w:sz w:val="20"/>
        </w:rPr>
        <w:t>Контакты: Смолева Галина · +7 (916) 127-97-90 · robot@oxteam.me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Документ описывает техническую концепцию городской платформы создания и управления ИИ-агентами и обосновывает ключевые архитектурные решения в сравнении с альтернативами. Речь идёт о новой системе, проектируемой и создаваемой совместно с ДИТ под задачи и требования города: технологический стек, состав компонентов и порядок развёртывания — предмет совместного проектирования. ООО «Окстех» вносит в проект архитектурный подход и опыт промышленной эксплуатации собственной мультиагентной платформы (раздел 11); сама платформа не переносится — город получает систему, спроектированную для него и принадлежащую ему.</w:t>
      </w:r>
    </w:p>
    <w:p>
      <w:pPr>
        <w:pStyle w:val="Heading1"/>
      </w:pPr>
      <w:r>
        <w:t>2. Целевая архитектура</w:t>
      </w:r>
    </w:p>
    <w:p>
      <w:pPr>
        <w:pStyle w:val="Heading2"/>
      </w:pPr>
      <w:r>
        <w:t>2.1. Состав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Платформа состоит из пяти функциональных компонентов с разделёнными зонами ответственности: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608"/>
            <w:shd w:val="clear" w:fill="14584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746"/>
            <w:shd w:val="clear" w:fill="14584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Ответственность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20"/>
              </w:rPr>
              <w:t>Реестр и конструктор</w:t>
            </w:r>
          </w:p>
        </w:tc>
        <w:tc>
          <w:tcPr>
            <w:tcW w:type="dxa" w:w="6746"/>
          </w:tcPr>
          <w:p>
            <w:pPr>
              <w:spacing w:after="40"/>
            </w:pPr>
            <w:r>
              <w:rPr>
                <w:sz w:val="20"/>
              </w:rPr>
              <w:t>Каталог агентов и их спецификаций, комнаты, права, конструктор специальностей, интерфейсы администрирования.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20"/>
              </w:rPr>
              <w:t>Фабрика (конвейер)</w:t>
            </w:r>
          </w:p>
        </w:tc>
        <w:tc>
          <w:tcPr>
            <w:tcW w:type="dxa" w:w="6746"/>
          </w:tcPr>
          <w:p>
            <w:pPr>
              <w:spacing w:after="40"/>
            </w:pPr>
            <w:r>
              <w:rPr>
                <w:sz w:val="20"/>
              </w:rPr>
              <w:t>Сборка агентов из спецификаций, песочница, аттестация, управление жизненным циклом и версиями.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20"/>
              </w:rPr>
              <w:t>Агенты</w:t>
            </w:r>
          </w:p>
        </w:tc>
        <w:tc>
          <w:tcPr>
            <w:tcW w:type="dxa" w:w="6746"/>
          </w:tcPr>
          <w:p>
            <w:pPr>
              <w:spacing w:after="40"/>
            </w:pPr>
            <w:r>
              <w:rPr>
                <w:sz w:val="20"/>
              </w:rPr>
              <w:t>Исполнители: универсальное ядро + специализация конфигурацией.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20"/>
              </w:rPr>
              <w:t>Слой данных (MCP)</w:t>
            </w:r>
          </w:p>
        </w:tc>
        <w:tc>
          <w:tcPr>
            <w:tcW w:type="dxa" w:w="6746"/>
          </w:tcPr>
          <w:p>
            <w:pPr>
              <w:spacing w:after="40"/>
            </w:pPr>
            <w:r>
              <w:rPr>
                <w:sz w:val="20"/>
              </w:rPr>
              <w:t>Единый контролируемый доступ агентов к городским ИС, документам, справочникам.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b/>
                <w:sz w:val="20"/>
              </w:rPr>
              <w:t>Шлюз моделей</w:t>
            </w:r>
          </w:p>
        </w:tc>
        <w:tc>
          <w:tcPr>
            <w:tcW w:type="dxa" w:w="6746"/>
          </w:tcPr>
          <w:p>
            <w:pPr>
              <w:spacing w:after="40"/>
            </w:pPr>
            <w:r>
              <w:rPr>
                <w:sz w:val="20"/>
              </w:rPr>
              <w:t>Единая точка доступа к языковым моделям с политиками выбора, лимитами и учётом.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Каналы (веб, мессенджеры, почта, внешние ассистенты)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│ A2A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▼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Оркестратор ──A2A──► агенты-специалисты (в комнатах)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│                        │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│ MCP                    │ MCP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▼                        ▼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Слой данных: инструменты ──► городские ИС, документы, календари…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                         │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                         ▼ единый API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                  Шлюз моделей ──► модели города / российские / open-source</w:t>
      </w:r>
    </w:p>
    <w:p>
      <w:pPr>
        <w:spacing w:after="120"/>
      </w:pPr>
    </w:p>
    <w:p>
      <w:pPr>
        <w:pStyle w:val="Heading2"/>
      </w:pPr>
      <w:r>
        <w:t>2.2. Почему именно такое членение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Границы компонентов совпадают с границами ответственности эксплуатирующих команд. Это даёт три практических следствия. Во-первых, независимое развитие: слой данных расширяется новыми инструментами без пересборки агентов; шлюз моделей обновляется без остановки процессов; реестр меняет правила без вмешательства в код исполнителей. Во-вторых, заменяемость: каждый компонент имеет описанный интерфейс, поэтому любой из них может быть доработан или заменён другой командой — в том числе без участия ООО «Окстех». В-третьих, прозрачную модель безопасности: весь доступ агентов к данным проходит через один слой, который можно проверять и ограничивать централизованно, вместо десятков прямых интеграций «агент → система», каждая из которых была бы отдельной поверхностью атаки.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Ядро платформы публикуется в открытом коде на Mos.Hub. Для города это не жест, а механизм: код доступен для аудита службам информационной безопасности, городские команды и подрядчики дорабатывают платформу без лицензионных барьеров, а накопленная функциональность не исчезает при смене исполнителя.</w:t>
      </w:r>
    </w:p>
    <w:p>
      <w:pPr>
        <w:pStyle w:val="Heading1"/>
      </w:pPr>
      <w:r>
        <w:t>3. Модель агента: универсальное ядро + декларативная спецификация</w:t>
      </w:r>
    </w:p>
    <w:p>
      <w:pPr>
        <w:pStyle w:val="Heading2"/>
      </w:pPr>
      <w:r>
        <w:t>3.1. Устройство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Каждый агент состоит из двух частей.</w:t>
      </w:r>
    </w:p>
    <w:p>
      <w:pPr>
        <w:spacing w:after="120"/>
      </w:pPr>
      <w:r>
        <w:rPr>
          <w:b/>
          <w:i w:val="0"/>
          <w:color w:val="212826"/>
          <w:sz w:val="22"/>
        </w:rPr>
        <w:t xml:space="preserve">Ядро </w:t>
      </w:r>
      <w:r>
        <w:rPr>
          <w:b w:val="0"/>
          <w:i w:val="0"/>
          <w:color w:val="212826"/>
          <w:sz w:val="22"/>
        </w:rPr>
        <w:t>— одинаково у всех агентов: сервер протокола A2A с карточкой возможностей, клиент слоя данных (MCP), аутентификация входящих вызовов, ограничение частоты запросов, эндпоинты здоровья и метрик, сквозная трассировка действий.</w:t>
      </w:r>
    </w:p>
    <w:p>
      <w:pPr>
        <w:spacing w:after="120"/>
      </w:pPr>
      <w:r>
        <w:rPr>
          <w:b/>
          <w:i w:val="0"/>
          <w:color w:val="212826"/>
          <w:sz w:val="22"/>
        </w:rPr>
        <w:t xml:space="preserve">Спецификация </w:t>
      </w:r>
      <w:r>
        <w:rPr>
          <w:b w:val="0"/>
          <w:i w:val="0"/>
          <w:color w:val="212826"/>
          <w:sz w:val="22"/>
        </w:rPr>
        <w:t>— то, что делает агента «специалистом»: роль (системный промпт — см. раздел 6 о языке шаблонов), навыки, перечень доступных инструментов, список разрешённых агентов-контрагентов, комнаты, назначенная модель и лимиты.</w:t>
      </w:r>
    </w:p>
    <w:p>
      <w:pPr>
        <w:pStyle w:val="Heading2"/>
      </w:pPr>
      <w:r>
        <w:t>3.2. Возможности, которые это открывает</w:t>
      </w:r>
    </w:p>
    <w:p>
      <w:pPr>
        <w:pStyle w:val="ListBullet"/>
        <w:spacing w:after="80"/>
      </w:pPr>
      <w:r>
        <w:rPr>
          <w:b/>
          <w:sz w:val="22"/>
        </w:rPr>
        <w:t xml:space="preserve">Специальность за дни, а не месяцы — </w:t>
      </w:r>
      <w:r>
        <w:rPr>
          <w:sz w:val="22"/>
        </w:rPr>
        <w:t>новый агент — например, проверяющий комплектность заявок по свежему регламенту — описывается в конструкторе и собирается из готового ядра. Ведомство получает работающего специалиста без проектной разработки, тендера на подрядчика и интеграционного проекта.</w:t>
      </w:r>
    </w:p>
    <w:p>
      <w:pPr>
        <w:pStyle w:val="ListBullet"/>
        <w:spacing w:after="80"/>
      </w:pPr>
      <w:r>
        <w:rPr>
          <w:b/>
          <w:sz w:val="22"/>
        </w:rPr>
        <w:t xml:space="preserve">Массовые обновления без риска рассинхронизации — </w:t>
      </w:r>
      <w:r>
        <w:rPr>
          <w:sz w:val="22"/>
        </w:rPr>
        <w:t>исправление в ядре (безопасность, протоколы, логирование) распространяется на весь парк агентов одной пересборкой. При «зоопарке» отдельных разработок то же исправление потребовало бы множества независимых проектов с разными сроками и качеством.</w:t>
      </w:r>
    </w:p>
    <w:p>
      <w:pPr>
        <w:pStyle w:val="ListBullet"/>
        <w:spacing w:after="80"/>
      </w:pPr>
      <w:r>
        <w:rPr>
          <w:b/>
          <w:sz w:val="22"/>
        </w:rPr>
        <w:t xml:space="preserve">Регламенты меняются без релизов — </w:t>
      </w:r>
      <w:r>
        <w:rPr>
          <w:sz w:val="22"/>
        </w:rPr>
        <w:t>роли и правила хранятся в реестре, версионируются и применяются без переразвёртывания кода. Правка регламента ведомства — операция методолога, а не разработчика.</w:t>
      </w:r>
    </w:p>
    <w:p>
      <w:pPr>
        <w:pStyle w:val="Heading2"/>
      </w:pPr>
      <w:r>
        <w:t>3.3. Технические гарантии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Конфигурация централизована: агент получает её из реестра при старте и не стартует без него (принцип fail-fast). Это исключает два классических отказа распределённых систем — дрейф конфигураций (у всех агентов гарантированно актуальные права и правила) и «осиротевшие» экземпляры со старыми полномочиями. Изменение спецификации автоматически инициирует пересборку агента: работающий код и его описание в реестре не могут разойтись — свойство, критичное для аудита.</w:t>
      </w:r>
    </w:p>
    <w:p>
      <w:pPr>
        <w:pStyle w:val="Heading1"/>
      </w:pPr>
      <w:r>
        <w:t>4. Протокольный слой: A2A + MCP</w:t>
      </w:r>
    </w:p>
    <w:p>
      <w:pPr>
        <w:pStyle w:val="Heading2"/>
      </w:pPr>
      <w:r>
        <w:t>4.1. Разделение взаимодействий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Платформа разделяет два принципиально разных типа взаимодействий и использует для каждого профильный открытый стандарт:</w:t>
      </w:r>
    </w:p>
    <w:p>
      <w:pPr>
        <w:pStyle w:val="ListBullet"/>
        <w:spacing w:after="80"/>
      </w:pPr>
      <w:r>
        <w:rPr>
          <w:b/>
          <w:sz w:val="22"/>
        </w:rPr>
        <w:t xml:space="preserve">MCP (Model Context Protocol) — </w:t>
      </w:r>
      <w:r>
        <w:rPr>
          <w:sz w:val="22"/>
        </w:rPr>
        <w:t>«вертикаль»: доступ агента к инструментам и данным. Вызовы по описанным схемам, единый слой над городскими системами, белый список инструментов на каждого агента.</w:t>
      </w:r>
    </w:p>
    <w:p>
      <w:pPr>
        <w:pStyle w:val="ListBullet"/>
        <w:spacing w:after="80"/>
      </w:pPr>
      <w:r>
        <w:rPr>
          <w:b/>
          <w:sz w:val="22"/>
        </w:rPr>
        <w:t xml:space="preserve">A2A (Agent-to-Agent) — </w:t>
      </w:r>
      <w:r>
        <w:rPr>
          <w:sz w:val="22"/>
        </w:rPr>
        <w:t>«горизонталь»: взаимодействие агентов между собой.</w:t>
      </w:r>
    </w:p>
    <w:p>
      <w:pPr>
        <w:pStyle w:val="Heading2"/>
      </w:pPr>
      <w:r>
        <w:t>4.2. Что даёт A2A (спецификация v1.0.1, Linux Foundation, Apache 2.0)</w:t>
      </w:r>
    </w:p>
    <w:p>
      <w:pPr>
        <w:pStyle w:val="ListBullet"/>
        <w:spacing w:after="80"/>
      </w:pPr>
      <w:r>
        <w:rPr>
          <w:b/>
          <w:sz w:val="22"/>
        </w:rPr>
        <w:t xml:space="preserve">Задача с жизненным циклом — </w:t>
      </w:r>
      <w:r>
        <w:rPr>
          <w:sz w:val="22"/>
        </w:rPr>
        <w:t>вместо одиночного вызова — задача с состояниями (принята / в работе / требуется ввод / завершена). Процессы, идущие часами и днями — проверка пакета документов с уточнениями, согласование в несколько шагов — выполняются штатно, а не через обходные решения с таймаутами. Исполнитель может задать встречный вопрос и дождаться ответа; заказчик видит промежуточный прогресс.</w:t>
      </w:r>
    </w:p>
    <w:p>
      <w:pPr>
        <w:pStyle w:val="ListBullet"/>
        <w:spacing w:after="80"/>
      </w:pPr>
      <w:r>
        <w:rPr>
          <w:b/>
          <w:sz w:val="22"/>
        </w:rPr>
        <w:t xml:space="preserve">Карточка возможностей (Agent Card) — </w:t>
      </w:r>
      <w:r>
        <w:rPr>
          <w:sz w:val="22"/>
        </w:rPr>
        <w:t>стандартизованное самоописание агента для автоматического поиска исполнителей. Внутренняя логика, данные и промпты не раскрываются (принцип Preserve Opacity). Для города это основа межведомственного взаимодействия без слияния контуров: агент одного ведомства пользуется услугами агента другого, не получая доступа к его внутренностям.</w:t>
      </w:r>
    </w:p>
    <w:p>
      <w:pPr>
        <w:pStyle w:val="ListBullet"/>
        <w:spacing w:after="80"/>
      </w:pPr>
      <w:r>
        <w:rPr>
          <w:b/>
          <w:sz w:val="22"/>
        </w:rPr>
        <w:t xml:space="preserve">Три режима взаимодействия — </w:t>
      </w:r>
      <w:r>
        <w:rPr>
          <w:sz w:val="22"/>
        </w:rPr>
        <w:t>синхронный, потоковый и асинхронный режимы покрывают весь спектр задач — от быстрой справки до многодневного процесса.</w:t>
      </w:r>
    </w:p>
    <w:p>
      <w:pPr>
        <w:pStyle w:val="ListBullet"/>
        <w:spacing w:after="80"/>
      </w:pPr>
      <w:r>
        <w:rPr>
          <w:b/>
          <w:sz w:val="22"/>
        </w:rPr>
        <w:t xml:space="preserve">Нейтральное управление и 6 SDK — </w:t>
      </w:r>
      <w:r>
        <w:rPr>
          <w:sz w:val="22"/>
        </w:rPr>
        <w:t>протокол передан в Linux Foundation — ставка на него не привязывает город ни к одному вендору. Шесть официальных SDK (Python, Go, JavaScript, Java, .NET, Rust) означают, что агентов смогут писать городские команды, подрядчики и университеты на привычном стеке.</w:t>
      </w:r>
    </w:p>
    <w:p>
      <w:pPr>
        <w:pStyle w:val="Heading2"/>
      </w:pPr>
      <w:r>
        <w:t>4.3. Почему не «всё через MCP»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Распространённая альтернатива — оборачивать агентов в MCP-инструменты и вызывать как функции. Авторы спецификации A2A называют этот путь принципиально ограничивающим; конкретные потери: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438"/>
            <w:shd w:val="clear" w:fill="2128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Свойство</w:t>
            </w:r>
          </w:p>
        </w:tc>
        <w:tc>
          <w:tcPr>
            <w:tcW w:type="dxa" w:w="3402"/>
            <w:shd w:val="clear" w:fill="0F473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Агент как MCP-инструмент</w:t>
            </w:r>
          </w:p>
        </w:tc>
        <w:tc>
          <w:tcPr>
            <w:tcW w:type="dxa" w:w="3515"/>
            <w:shd w:val="clear" w:fill="14584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Агент по A2A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Жизненный цикл задачи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  <w:t>Нет: вызов завершился или упал по таймауту.</w:t>
            </w:r>
          </w:p>
        </w:tc>
        <w:tc>
          <w:tcPr>
            <w:tcW w:type="dxa" w:w="3515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Состояния, прогресс, длительные задачи.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Встречный вопрос исполнителя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  <w:t>Не предусмотрен.</w:t>
            </w:r>
          </w:p>
        </w:tc>
        <w:tc>
          <w:tcPr>
            <w:tcW w:type="dxa" w:w="3515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Состояние «требуется ввод».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Обнаружение исполнителей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  <w:t>Список функций сервера.</w:t>
            </w:r>
          </w:p>
        </w:tc>
        <w:tc>
          <w:tcPr>
            <w:tcW w:type="dxa" w:w="3515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Карточки + реестр по навыкам.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Состояние процесса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  <w:t>На вызывающей стороне.</w:t>
            </w:r>
          </w:p>
        </w:tc>
        <w:tc>
          <w:tcPr>
            <w:tcW w:type="dxa" w:w="3515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У задачи.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Семантика для аудита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sz w:val="20"/>
              </w:rPr>
              <w:t>Инструмент и автономный агент неразличимы.</w:t>
            </w:r>
          </w:p>
        </w:tc>
        <w:tc>
          <w:tcPr>
            <w:tcW w:type="dxa" w:w="3515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Разделены по протоколам.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12826"/>
          <w:sz w:val="22"/>
        </w:rPr>
        <w:t>Последняя строка важнее, чем кажется: когда в журнале аудита «вызов инструмента» и «поручение автономному агенту» выглядят одинаково, невозможно построить осмысленную политику контроля. Разделение протоколов делает журнал читаемым: записи MCP — работа с данными, записи A2A — передача ответственности между агентами.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Для коротких синхронных сценариев MCP-обёрток достаточно; проигрыш проявляется на многошаговых процессах с согласованиями — основном классе задач ведомств.</w:t>
      </w:r>
    </w:p>
    <w:p>
      <w:pPr>
        <w:pStyle w:val="Heading1"/>
      </w:pPr>
      <w:r>
        <w:t>5. Комнаты: организация пространства агентов</w:t>
      </w:r>
    </w:p>
    <w:p>
      <w:pPr>
        <w:pStyle w:val="Heading2"/>
      </w:pPr>
      <w:r>
        <w:t>5.1. Устройство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Комната — это курируемый реестр карточек агентов, совмещённый с областью действия прав. Вход агента в комнату означает: запись в реестре комнаты, выдачу доступов к её агентам и допусков к её инструментам. Видимость данных и исполнителей ограничена границей комнаты. Универсальные агенты (чтение документов, подготовка текстов, календарь) состоят в нескольких комнатах одновременно.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Соответствие стандарту: спецификация A2A описывает три стратегии обнаружения агентов и прямо рекомендует курируемые реестры для корпоративных сред с требованиями к управляемости. API реестра стандартом не зафиксирован — реестр «комнат» является легитимным расширением стандарта, а не отклонением от него.</w:t>
      </w:r>
    </w:p>
    <w:p>
      <w:pPr>
        <w:pStyle w:val="Heading2"/>
      </w:pPr>
      <w:r>
        <w:t>5.2. Возможности и выгоды</w:t>
      </w:r>
    </w:p>
    <w:p>
      <w:pPr>
        <w:pStyle w:val="ListBullet"/>
        <w:spacing w:after="80"/>
      </w:pPr>
      <w:r>
        <w:rPr>
          <w:b/>
          <w:sz w:val="22"/>
        </w:rPr>
        <w:t xml:space="preserve">Подключение без интеграционного проекта — </w:t>
      </w:r>
      <w:r>
        <w:rPr>
          <w:sz w:val="22"/>
        </w:rPr>
        <w:t>новый агент, добавленный в комнату, автоматически становится доступен остальным: они находят его по карточке. Не требуется ни правка конфигураций существующих агентов, ни новые сетевые доступы точка-точка.</w:t>
      </w:r>
    </w:p>
    <w:p>
      <w:pPr>
        <w:pStyle w:val="ListBullet"/>
        <w:spacing w:after="80"/>
      </w:pPr>
      <w:r>
        <w:rPr>
          <w:b/>
          <w:sz w:val="22"/>
        </w:rPr>
        <w:t xml:space="preserve">Границы данных = границы комнат — </w:t>
      </w:r>
      <w:r>
        <w:rPr>
          <w:sz w:val="22"/>
        </w:rPr>
        <w:t>модель прав повторяет организационную структуру: финансовая комната не видит кадровую. Для аудита ИБ ответ на вопрос «кто имеет доступ к данным X» — это список участников одной комнаты, а не разбор матрицы интеграций.</w:t>
      </w:r>
    </w:p>
    <w:p>
      <w:pPr>
        <w:pStyle w:val="ListBullet"/>
        <w:spacing w:after="80"/>
      </w:pPr>
      <w:r>
        <w:rPr>
          <w:b/>
          <w:sz w:val="22"/>
        </w:rPr>
        <w:t xml:space="preserve">Межведомственные процессы — </w:t>
      </w:r>
      <w:r>
        <w:rPr>
          <w:sz w:val="22"/>
        </w:rPr>
        <w:t>ведомства делегируют отдельных агентов в общие процессные комнаты, не раскрывая свои внутренние контуры.</w:t>
      </w:r>
    </w:p>
    <w:p>
      <w:pPr>
        <w:pStyle w:val="ListBullet"/>
        <w:spacing w:after="80"/>
      </w:pPr>
      <w:r>
        <w:rPr>
          <w:b/>
          <w:sz w:val="22"/>
        </w:rPr>
        <w:t xml:space="preserve">Защита межагентных вызовов — </w:t>
      </w:r>
      <w:r>
        <w:rPr>
          <w:sz w:val="22"/>
        </w:rPr>
        <w:t>обязательные токены, опциональная криптографическая подпись запросов с защитой от повторного воспроизведения, ограничение частоты вызовов.</w:t>
      </w:r>
    </w:p>
    <w:p>
      <w:pPr>
        <w:pStyle w:val="Heading1"/>
      </w:pPr>
      <w:r>
        <w:t>6. Язык шаблонов промптов</w:t>
      </w:r>
    </w:p>
    <w:p>
      <w:pPr>
        <w:pStyle w:val="Heading2"/>
      </w:pPr>
      <w:r>
        <w:t>6.1. Проблема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Роль агента задаётся системным промптом. В наивной реализации это монолитный текст: общие правила города, требования ведомства и особенности конкретной задачи перемешаны в одной «простыне». Последствия: одно и то же правило копируется в десятки промптов и неизбежно расходится по версиям; правка общего требования означает ручную правку всех агентов; сравнить две версии роли и понять, что изменилось по существу, — трудно; ответственность методолога и инженера не разделена.</w:t>
      </w:r>
    </w:p>
    <w:p>
      <w:pPr>
        <w:pStyle w:val="Heading2"/>
      </w:pPr>
      <w:r>
        <w:t>6.2. Предлагаемое решение: специализированный язык шаблонов на базе JSON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Промпт описывается структурой с переменными, которые можно переиспользовать: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{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"rules":  "Всегда выбирай красное",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"prompt": "Система должна следовать следующим правилам: {rules}"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}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color w:val="212826"/>
          <w:sz w:val="22"/>
        </w:rPr>
        <w:t>Переменной может быть константа, отдельное правило или целый повторяющийся набор инструкций. Спецификация агента ссылается на общие блоки, а не копирует их: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{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"city_tone": "@city/style/official-tone",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"doc_rules": "@city/rules/document-handling",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"vedomstvo": "Проверка отчётности по формам 0503117, 0503737",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"prompt":    "Ты — агент-контролёр. {city_tone} {doc_rules}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             Твоя специализация: {vedomstvo}"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}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color w:val="212826"/>
          <w:sz w:val="22"/>
        </w:rPr>
        <w:t>Уровни каталога переменных: платформа (общегородские правила) → комната (правила области) → агент (локальные параметры). Нижний уровень может переопределять верхний по явно описанным правилам.</w:t>
      </w:r>
    </w:p>
    <w:p>
      <w:pPr>
        <w:pStyle w:val="Heading2"/>
      </w:pPr>
      <w:r>
        <w:t>6.3. Возможности и выгоды</w:t>
      </w:r>
    </w:p>
    <w:p>
      <w:pPr>
        <w:pStyle w:val="ListBullet"/>
        <w:spacing w:after="80"/>
      </w:pPr>
      <w:r>
        <w:rPr>
          <w:b/>
          <w:sz w:val="22"/>
        </w:rPr>
        <w:t xml:space="preserve">Единая правка — </w:t>
      </w:r>
      <w:r>
        <w:rPr>
          <w:sz w:val="22"/>
        </w:rPr>
        <w:t>общегородское правило (тон обращений, запреты, формат протокола проверки) меняется в одном месте каталога — и применяется ко всем агентам, использующим переменную. Сегодня это десятки ручных правок с риском пропустить агента.</w:t>
      </w:r>
    </w:p>
    <w:p>
      <w:pPr>
        <w:pStyle w:val="ListBullet"/>
        <w:spacing w:after="80"/>
      </w:pPr>
      <w:r>
        <w:rPr>
          <w:b/>
          <w:sz w:val="22"/>
        </w:rPr>
        <w:t xml:space="preserve">Композиция ролей — </w:t>
      </w:r>
      <w:r>
        <w:rPr>
          <w:sz w:val="22"/>
        </w:rPr>
        <w:t>специальность = базовый шаблон + отраслевые наборы правил + параметры ведомства. Новые роли собираются из проверенных блоков, а не пишутся с нуля.</w:t>
      </w:r>
    </w:p>
    <w:p>
      <w:pPr>
        <w:pStyle w:val="ListBullet"/>
        <w:spacing w:after="80"/>
      </w:pPr>
      <w:r>
        <w:rPr>
          <w:b/>
          <w:sz w:val="22"/>
        </w:rPr>
        <w:t xml:space="preserve">Правки как управляемые изменения — </w:t>
      </w:r>
      <w:r>
        <w:rPr>
          <w:sz w:val="22"/>
        </w:rPr>
        <w:t>структура сравнивается и версионируется: правка регламента становится просматриваемым изменением конкретной переменной с историей, автором и согласованием — а не переписыванием текста, в котором изменения не видны.</w:t>
      </w:r>
    </w:p>
    <w:p>
      <w:pPr>
        <w:pStyle w:val="ListBullet"/>
        <w:spacing w:after="80"/>
      </w:pPr>
      <w:r>
        <w:rPr>
          <w:b/>
          <w:sz w:val="22"/>
        </w:rPr>
        <w:t xml:space="preserve">Валидация до выпуска — </w:t>
      </w:r>
      <w:r>
        <w:rPr>
          <w:sz w:val="22"/>
        </w:rPr>
        <w:t>схема позволяет автоматически проверять, что все переменные заполнены и ссылки разрешаются; конвейер аттестации (раздел 8) прогоняет изменённый шаблон по эталонным заданиям — правка правила не попадёт в работу, если ломает поведение агента.</w:t>
      </w:r>
    </w:p>
    <w:p>
      <w:pPr>
        <w:pStyle w:val="ListBullet"/>
        <w:spacing w:after="80"/>
      </w:pPr>
      <w:r>
        <w:rPr>
          <w:b/>
          <w:sz w:val="22"/>
        </w:rPr>
        <w:t xml:space="preserve">Разделение труда — </w:t>
      </w:r>
      <w:r>
        <w:rPr>
          <w:sz w:val="22"/>
        </w:rPr>
        <w:t>методологи ведомств управляют значениями правил на понятном им языке; инженеры платформы — структурой шаблонов и механикой подстановки. Это снимает главный конфликт наивного промпт-инжиниринга, где любая правка требует и предметных, и инженерных компетенций одновременно.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Проработка синтаксиса (формат ссылок, области видимости, наследование, каталог переменных в реестре) — задача этапа совместного проектирования; в отрасли есть прецеденты шаблонизации промптов, которые будут проанализированы при выборе решения.</w:t>
      </w:r>
    </w:p>
    <w:p>
      <w:pPr>
        <w:pStyle w:val="Heading1"/>
      </w:pPr>
      <w:r>
        <w:t>7. Оркестрация процессов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Оркестратор — отдельный агент, ведущий составные задачи:</w:t>
      </w:r>
    </w:p>
    <w:p>
      <w:pPr>
        <w:pStyle w:val="ListBullet"/>
        <w:spacing w:after="80"/>
      </w:pPr>
      <w:r>
        <w:rPr>
          <w:b/>
          <w:sz w:val="22"/>
        </w:rPr>
        <w:t xml:space="preserve">Планирование — </w:t>
      </w:r>
      <w:r>
        <w:rPr>
          <w:sz w:val="22"/>
        </w:rPr>
        <w:t>по описанию задачи и реестру доступных исполнителей строится план шагов с зависимостями.</w:t>
      </w:r>
    </w:p>
    <w:p>
      <w:pPr>
        <w:pStyle w:val="ListBullet"/>
        <w:spacing w:after="80"/>
      </w:pPr>
      <w:r>
        <w:rPr>
          <w:b/>
          <w:sz w:val="22"/>
        </w:rPr>
        <w:t xml:space="preserve">Параллельное волновое исполнение — </w:t>
      </w:r>
      <w:r>
        <w:rPr>
          <w:sz w:val="22"/>
        </w:rPr>
        <w:t>шаги с выполненными зависимостями запускаются одновременно. Практический смысл: проверка пакета из независимых документов идёт параллельно, а не последовательно — время процесса определяется самым долгим шагом, а не суммой всех.</w:t>
      </w:r>
    </w:p>
    <w:p>
      <w:pPr>
        <w:pStyle w:val="ListBullet"/>
        <w:spacing w:after="80"/>
      </w:pPr>
      <w:r>
        <w:rPr>
          <w:b/>
          <w:sz w:val="22"/>
        </w:rPr>
        <w:t xml:space="preserve">Устойчивость к частичному отказу — </w:t>
      </w:r>
      <w:r>
        <w:rPr>
          <w:sz w:val="22"/>
        </w:rPr>
        <w:t>сбой одного шага не валит процесс: зависимые шаги корректно помечаются пропущенными, независимые продолжаются, результат содержит явную картину «что выполнено, что нет и почему».</w:t>
      </w:r>
    </w:p>
    <w:p>
      <w:pPr>
        <w:pStyle w:val="ListBullet"/>
        <w:spacing w:after="80"/>
      </w:pPr>
      <w:r>
        <w:rPr>
          <w:b/>
          <w:sz w:val="22"/>
        </w:rPr>
        <w:t xml:space="preserve">Верификация результата — </w:t>
      </w:r>
      <w:r>
        <w:rPr>
          <w:sz w:val="22"/>
        </w:rPr>
        <w:t>после выполнения — проверка качества с оценкой уверенности и ограниченным репланированием: сомнительный результат перепроверяется, а не молча передаётся дальше.</w:t>
      </w:r>
    </w:p>
    <w:p>
      <w:pPr>
        <w:pStyle w:val="ListBullet"/>
        <w:spacing w:after="80"/>
      </w:pPr>
      <w:r>
        <w:rPr>
          <w:b/>
          <w:sz w:val="22"/>
        </w:rPr>
        <w:t xml:space="preserve">Событийная модель — </w:t>
      </w:r>
      <w:r>
        <w:rPr>
          <w:sz w:val="22"/>
        </w:rPr>
        <w:t>события оркестрации публикуются в реестр — на них строится живой граф «кто кого привлёк» и полная трассировка процесса. Для разбора инцидента доступна вся цепочка: постановка, план, исполнители, промежуточные результаты.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Выгода для ведомства формулируется просто: процесс, а не переписка. Сотрудник ставит задачу — платформа сама подбирает исполнителей, координирует их, контролирует качество и возвращает результат с полной историей выполнения.</w:t>
      </w:r>
    </w:p>
    <w:p>
      <w:pPr>
        <w:pStyle w:val="Heading1"/>
      </w:pPr>
      <w:r>
        <w:t>8. Конвейер фабрики и модель качества</w:t>
      </w:r>
    </w:p>
    <w:p>
      <w:pPr>
        <w:pStyle w:val="Heading2"/>
      </w:pPr>
      <w:r>
        <w:t>8.1. Путь агента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>Заявка ведомства → Сборка (конструктор) → Песочница (эталонные задания)</w:t>
      </w:r>
    </w:p>
    <w:p>
      <w:pPr>
        <w:spacing w:after="0"/>
      </w:pPr>
      <w:r>
        <w:rPr>
          <w:rFonts w:ascii="Courier New" w:hAnsi="Courier New" w:eastAsia="Courier New"/>
          <w:color w:val="212826"/>
          <w:sz w:val="19"/>
        </w:rPr>
        <w:t xml:space="preserve">   → Аттестация (агент-аттестатор + человек) → Выпуск в комнату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color w:val="212826"/>
          <w:sz w:val="22"/>
        </w:rPr>
        <w:t>Ни один агент не получает доступ к данным города, минуя этот путь. Песочница — изолированная среда на тестовых данных (production, тестовые и отраслевые контуры разделены). Аттестация — прогон эталонных заданий специальным агентом-аттестатором, работающим на самой сильной доступной модели, с протоколом проверки; финальный допуск подтверждает человек.</w:t>
      </w:r>
    </w:p>
    <w:p>
      <w:pPr>
        <w:pStyle w:val="Heading2"/>
      </w:pPr>
      <w:r>
        <w:t>8.2. Показатель зрелости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Каждый агент и навык несёт показатель зрелости: прототип → песочница → аттестован → production → ветеран. Показатель хранится в реестре и виден при выборе исполнителя.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Зачем это городу. Во-первых, управление риском: ведомство видит, что можно доверить агенту-«ветерану», а что — только аттестованному под присмотром. Во-вторых, масштабирование без потери качества: тот же конвейер проходят навыки внешних команд — университетских, подрядных. Качество расширений гарантируется процессом (эталонные задания, аттестация), а не доверием к конкретному исполнителю — это единственная модель, при которой открытая экосистема не превращается в свалку непроверенных решений.</w:t>
      </w:r>
    </w:p>
    <w:p>
      <w:pPr>
        <w:pStyle w:val="Heading1"/>
      </w:pPr>
      <w:r>
        <w:t>9. Модельный слой, контроль и наблюдаемость</w:t>
      </w:r>
    </w:p>
    <w:p>
      <w:pPr>
        <w:pStyle w:val="ListBullet"/>
        <w:spacing w:after="80"/>
      </w:pPr>
      <w:r>
        <w:rPr>
          <w:b/>
          <w:sz w:val="22"/>
        </w:rPr>
        <w:t xml:space="preserve">Шлюз моделей — </w:t>
      </w:r>
      <w:r>
        <w:rPr>
          <w:sz w:val="22"/>
        </w:rPr>
        <w:t>агенты не содержат кода конкретных провайдеров; смена модели — изменение конфигурации, а не переписывание агентов. Политика выбора фиксируется на сценарий: модели города — основной контур; российские коммерческие и локальные open-source — по задаче; передовые зарубежные — точечно, в разрешённых сценариях без персональных данных (например, аттестация агентов). Город использует лучшую доступную модель для каждой задачи и меняет решения по мере развития рынка — без заложника в виде переписывания парка агентов.</w:t>
      </w:r>
    </w:p>
    <w:p>
      <w:pPr>
        <w:pStyle w:val="ListBullet"/>
        <w:spacing w:after="80"/>
      </w:pPr>
      <w:r>
        <w:rPr>
          <w:b/>
          <w:sz w:val="22"/>
        </w:rPr>
        <w:t xml:space="preserve">Учёт и лимиты — </w:t>
      </w:r>
      <w:r>
        <w:rPr>
          <w:sz w:val="22"/>
        </w:rPr>
        <w:t>расход токенов считается по каждому вызову и агрегируется по контурам; действуют бюджеты на задачу, лимиты на пользователя, бюджеты контуров. Затраты на ИИ становятся управляемой статьёй с прозрачной себестоимостью процесса, а не непредсказуемым счётом в конце месяца.</w:t>
      </w:r>
    </w:p>
    <w:p>
      <w:pPr>
        <w:pStyle w:val="ListBullet"/>
        <w:spacing w:after="80"/>
      </w:pPr>
      <w:r>
        <w:rPr>
          <w:b/>
          <w:sz w:val="22"/>
        </w:rPr>
        <w:t xml:space="preserve">Наблюдаемость — </w:t>
      </w:r>
      <w:r>
        <w:rPr>
          <w:sz w:val="22"/>
        </w:rPr>
        <w:t>по каждому запросу фиксируется траектория: шаги, вызовы инструментов и агентов, длительность, статус, расход. Любой результат можно разобрать до отдельного действия — основа и для аудита ИБ, и для методической работы над качеством агентов.</w:t>
      </w:r>
    </w:p>
    <w:p>
      <w:pPr>
        <w:pStyle w:val="ListBullet"/>
        <w:spacing w:after="80"/>
      </w:pPr>
      <w:r>
        <w:rPr>
          <w:b/>
          <w:sz w:val="22"/>
        </w:rPr>
        <w:t xml:space="preserve">Human-in-the-loop — </w:t>
      </w:r>
      <w:r>
        <w:rPr>
          <w:sz w:val="22"/>
        </w:rPr>
        <w:t>значимые действия — отправка документов, изменение данных — требуют подтверждения человеком на уровне конкретного действия, а не «одобрения сессии» целиком. Автоматизация наращивается постепенно: сначала агент готовит, человек подтверждает; по мере накопления доверия (и зрелости агента) доля подтверждений снижается осознанным решением ведомства.</w:t>
      </w:r>
    </w:p>
    <w:p>
      <w:pPr>
        <w:pStyle w:val="ListBullet"/>
        <w:spacing w:after="80"/>
      </w:pPr>
      <w:r>
        <w:rPr>
          <w:b/>
          <w:sz w:val="22"/>
        </w:rPr>
        <w:t xml:space="preserve">Развёртывание — </w:t>
      </w:r>
      <w:r>
        <w:rPr>
          <w:sz w:val="22"/>
        </w:rPr>
        <w:t>полностью в контуре города, контейнерное; автоматизированная сборка и безопасный редеплой с верификацией запуска.</w:t>
      </w:r>
    </w:p>
    <w:p>
      <w:pPr>
        <w:pStyle w:val="Heading1"/>
      </w:pPr>
      <w:r>
        <w:t>10. Экосистема: университеты и живая среда</w:t>
      </w:r>
    </w:p>
    <w:p>
      <w:pPr>
        <w:pStyle w:val="Heading2"/>
      </w:pPr>
      <w:r>
        <w:t>10.1. Задача шире технической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Платформа со временем потребует всё больше навыков, инструментов и агентов — больше, чем может произвести любой отдельный подрядчик. Поэтому целью проекта является не только техническая среда, но и экспертное сообщество вокруг неё — живая среда, в которой навыки создаются, проверяются и совершенствуются многими независимыми участниками по общим правилам.</w:t>
      </w:r>
    </w:p>
    <w:p>
      <w:pPr>
        <w:pStyle w:val="Heading2"/>
      </w:pPr>
      <w:r>
        <w:t>10.2. Роль университетов</w:t>
      </w:r>
    </w:p>
    <w:p>
      <w:pPr>
        <w:pStyle w:val="ListBullet"/>
        <w:spacing w:after="80"/>
      </w:pPr>
      <w:r>
        <w:rPr>
          <w:b/>
          <w:sz w:val="22"/>
        </w:rPr>
        <w:t xml:space="preserve">Написание навыков и ролей по оплачиваемым заказам — </w:t>
      </w:r>
      <w:r>
        <w:rPr>
          <w:sz w:val="22"/>
        </w:rPr>
        <w:t>ведомства публикуют потребности на витрине; университетские команды берут заказы и сдают результат через общий конвейер аттестации. Это устойчивая экономика участия, а не разовые конкурсы: поток навыков не иссякает после хакатона.</w:t>
      </w:r>
    </w:p>
    <w:p>
      <w:pPr>
        <w:pStyle w:val="ListBullet"/>
        <w:spacing w:after="80"/>
      </w:pPr>
      <w:r>
        <w:rPr>
          <w:b/>
          <w:sz w:val="22"/>
        </w:rPr>
        <w:t xml:space="preserve">Порог входа снижен языком шаблонов — </w:t>
      </w:r>
      <w:r>
        <w:rPr>
          <w:sz w:val="22"/>
        </w:rPr>
        <w:t>значительная часть работы над навыком — правила, инструкции, эталонные задания — доступна студентам-предметникам (юристам, экономистам, документоведам), а не только программистам (раздел 6). Университеты подключают к платформе не одну кафедру, а несколько факультетов.</w:t>
      </w:r>
    </w:p>
    <w:p>
      <w:pPr>
        <w:pStyle w:val="ListBullet"/>
        <w:spacing w:after="80"/>
      </w:pPr>
      <w:r>
        <w:rPr>
          <w:b/>
          <w:sz w:val="22"/>
        </w:rPr>
        <w:t xml:space="preserve">Учебный процесс на реальных задачах — </w:t>
      </w:r>
      <w:r>
        <w:rPr>
          <w:sz w:val="22"/>
        </w:rPr>
        <w:t>курсовые и дипломные работы — это навыки для конкретных ведомств с измеримым результатом аттестации; лучшие работы попадают в production и остаются в портфолио автора с показателем зрелости.</w:t>
      </w:r>
    </w:p>
    <w:p>
      <w:pPr>
        <w:pStyle w:val="ListBullet"/>
        <w:spacing w:after="80"/>
      </w:pPr>
      <w:r>
        <w:rPr>
          <w:b/>
          <w:sz w:val="22"/>
        </w:rPr>
        <w:t xml:space="preserve">Кадровый резерв города — </w:t>
      </w:r>
      <w:r>
        <w:rPr>
          <w:sz w:val="22"/>
        </w:rPr>
        <w:t>студенты, прошедшие путь «навык → песочница → аттестация → production», к выпуску знают городские процессы и платформу — это готовый канал найма для ДИТ и ведомств.</w:t>
      </w:r>
    </w:p>
    <w:p>
      <w:pPr>
        <w:pStyle w:val="ListBullet"/>
        <w:spacing w:after="80"/>
      </w:pPr>
      <w:r>
        <w:rPr>
          <w:b/>
          <w:sz w:val="22"/>
        </w:rPr>
        <w:t xml:space="preserve">Научная составляющая — </w:t>
      </w:r>
      <w:r>
        <w:rPr>
          <w:sz w:val="22"/>
        </w:rPr>
        <w:t>методики оценки качества агентов, эталонные наборы заданий, исследования на обезличенных траекториях — предмет совместных работ и публикаций.</w:t>
      </w:r>
    </w:p>
    <w:p>
      <w:pPr>
        <w:pStyle w:val="Heading2"/>
      </w:pPr>
      <w:r>
        <w:t>10.3. Механика живой среды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Сообщество держится на инфраструктуре, а не на энтузиазме: открытое ядро и документация на Mos.Hub; SDK протокола на шести языках — команды работают на привычном стеке; общедоступная песочница с эталонными заданиями — порог входа измеряется днями; витрина с публичным показателем зрелости навыков и репутацией авторов — качество видно, хорошая работа накапливает вес; интеграция с действующими городскими программами (хакатон «Лидеры Цифровой Трансформации», Академия инноваторов, программы Московского инновационного кластера) — приток новых участников встроен в существующие процессы.</w:t>
      </w:r>
    </w:p>
    <w:p>
      <w:pPr>
        <w:pStyle w:val="Heading2"/>
      </w:pPr>
      <w:r>
        <w:t>10.4. Что это даёт городу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Мощность фабрики перестаёт быть ограничена ресурсом одного поставщика — она растёт с сообществом. Экспертиза по агентным системам накапливается в городе: в ведомствах (методологи), в университетах (авторы навыков), в командах ДИТ (владельцы платформы). И это же — долгосрочная защита проекта: система с живым сообществом развивается и переживает смену подрядчиков; система одного вендора живёт ровно столько, сколько интерес вендора.</w:t>
      </w:r>
    </w:p>
    <w:p>
      <w:pPr>
        <w:pStyle w:val="Heading1"/>
      </w:pPr>
      <w:r>
        <w:t>11. Опыт ООО «Окстех» (подтверждение реализуемости)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Все элементы предлагаемой архитектуры проверены компанией в собственной мультиагентной платформе, находящейся в промышленной эксплуатации:</w:t>
      </w:r>
    </w:p>
    <w:p>
      <w:pPr>
        <w:pStyle w:val="ListBullet"/>
        <w:spacing w:after="80"/>
      </w:pPr>
      <w:r>
        <w:rPr>
          <w:b/>
          <w:sz w:val="22"/>
        </w:rPr>
        <w:t xml:space="preserve">Единая кодовая база агентов со специализацией конфигурацией — </w:t>
      </w:r>
      <w:r>
        <w:rPr>
          <w:sz w:val="22"/>
        </w:rPr>
        <w:t>более 10 агентов в production, специальность добавляется без разработки.</w:t>
      </w:r>
    </w:p>
    <w:p>
      <w:pPr>
        <w:pStyle w:val="ListBullet"/>
        <w:spacing w:after="80"/>
      </w:pPr>
      <w:r>
        <w:rPr>
          <w:b/>
          <w:sz w:val="22"/>
        </w:rPr>
        <w:t xml:space="preserve">Слой данных MCP — </w:t>
      </w:r>
      <w:r>
        <w:rPr>
          <w:sz w:val="22"/>
        </w:rPr>
        <w:t>147 инструментов в трёх контурах (основной, отраслевой контур закупок, шлюз для внешних ассистентов).</w:t>
      </w:r>
    </w:p>
    <w:p>
      <w:pPr>
        <w:pStyle w:val="ListBullet"/>
        <w:spacing w:after="80"/>
      </w:pPr>
      <w:r>
        <w:rPr>
          <w:b/>
          <w:sz w:val="22"/>
        </w:rPr>
        <w:t xml:space="preserve">A2A между агентами — </w:t>
      </w:r>
      <w:r>
        <w:rPr>
          <w:sz w:val="22"/>
        </w:rPr>
        <w:t>актуальная версия протокола, карточки возможностей, живой граф вызовов.</w:t>
      </w:r>
    </w:p>
    <w:p>
      <w:pPr>
        <w:pStyle w:val="ListBullet"/>
        <w:spacing w:after="80"/>
      </w:pPr>
      <w:r>
        <w:rPr>
          <w:b/>
          <w:sz w:val="22"/>
        </w:rPr>
        <w:t xml:space="preserve">Учёт и лимиты токенов — </w:t>
      </w:r>
      <w:r>
        <w:rPr>
          <w:sz w:val="22"/>
        </w:rPr>
        <w:t>по контурам, с полной трассировкой запросов.</w:t>
      </w:r>
    </w:p>
    <w:p>
      <w:pPr>
        <w:pStyle w:val="ListBullet"/>
        <w:spacing w:after="80"/>
      </w:pPr>
      <w:r>
        <w:rPr>
          <w:b/>
          <w:sz w:val="22"/>
        </w:rPr>
        <w:t xml:space="preserve">Два прикладных продукта на одной платформе — </w:t>
      </w:r>
      <w:r>
        <w:rPr>
          <w:sz w:val="22"/>
        </w:rPr>
        <w:t>AI-документооборот (OxDocs, формирование документов по ГОСТ) и автоматизация закупок электронных компонентов — подтверждение тезиса «одна платформа — разные прикладные вертикали».</w:t>
      </w:r>
    </w:p>
    <w:p>
      <w:pPr>
        <w:pStyle w:val="ListBullet"/>
        <w:spacing w:after="80"/>
      </w:pPr>
      <w:r>
        <w:rPr>
          <w:b/>
          <w:sz w:val="22"/>
        </w:rPr>
        <w:t xml:space="preserve">Права оформлены — </w:t>
      </w:r>
      <w:r>
        <w:rPr>
          <w:sz w:val="22"/>
        </w:rPr>
        <w:t>свидетельство о государственной регистрации программы для ЭВМ «Oxtech Agents» № 2026613582 от 06.02.2026, правообладатель — ООО «Окстех»; участник Московского инновационного кластера; открытая библиотека ox-ai-workers (MIT) сопровождается с 2024 года.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Этот опыт переносится в проект в виде архитектуры, методик и уроков эксплуатации; сама новая система проектируется и строится совместно с ДИТ под требования города.</w:t>
      </w:r>
    </w:p>
    <w:p>
      <w:pPr>
        <w:pStyle w:val="Heading1"/>
      </w:pPr>
      <w:r>
        <w:t>12. Сравнение с альтернативными подходами</w:t>
      </w:r>
    </w:p>
    <w:p>
      <w:pPr>
        <w:pStyle w:val="Heading2"/>
      </w:pPr>
      <w:r>
        <w:t>12.1. Аренда закрытой платформы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Наиболее заметное предложение на рынке — GigaCowork («Салют для бизнеса»); сравнение по открытым данным (тестовый доступ с 19.05.2026):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2128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3515"/>
            <w:shd w:val="clear" w:fill="0F473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GigaCowork</w:t>
            </w:r>
          </w:p>
        </w:tc>
        <w:tc>
          <w:tcPr>
            <w:tcW w:type="dxa" w:w="3798"/>
            <w:shd w:val="clear" w:fill="14584A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Городская фабрика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Закрытый, поставщика.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Открытое ядро на Mos.Hub, принадлежит городу.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Контур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Облако поставщика; on-premise не заявлен.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Полностью в периметре города.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Модели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Экосистема одного вендора.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Политика выбора на сценарий, включая модели города.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Межагентный протокол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Не заявлен (публично известны MCP-интеграции).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A2A v1.0.1 (Linux Foundation).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Создание агентов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Self-service в чате.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Конвейер: песочница, аттестация, зрелость.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Аудит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Не раскрыт.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Трассировка каждого вызова, учёт расхода.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Развитие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По плану вендора.</w:t>
            </w:r>
          </w:p>
        </w:tc>
        <w:tc>
          <w:tcPr>
            <w:tcW w:type="dxa" w:w="3798"/>
            <w:shd w:val="clear" w:fill="E7F2EE"/>
          </w:tcPr>
          <w:p>
            <w:pPr>
              <w:spacing w:after="40"/>
            </w:pPr>
            <w:r>
              <w:rPr>
                <w:sz w:val="20"/>
              </w:rPr>
              <w:t>По правилам города: витрина и внешние команды (6 SDK).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12826"/>
          <w:sz w:val="22"/>
        </w:rPr>
        <w:t>Подход самообслуживания оптимизирует скорость создания агента отдельным сотрудником. Предлагаемая архитектура оптимизирует другое: управляемость парка агентов организации — качество, права, аудит, стоимость. Для города, отвечающего за процессы ведомств и данные жителей, второй набор свойств является определяющим.</w:t>
      </w:r>
    </w:p>
    <w:p>
      <w:pPr>
        <w:pStyle w:val="Heading2"/>
      </w:pPr>
      <w:r>
        <w:t>12.2. No-code конструкторы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Автоматизируют личную рутину сотрудника; в них нет модели прав между подразделениями, аттестации и обособленных контуров данных — задачи организации они не решают.</w:t>
      </w:r>
    </w:p>
    <w:p>
      <w:pPr>
        <w:pStyle w:val="Heading2"/>
      </w:pPr>
      <w:r>
        <w:t>12.3. Заказная разработка «агент под задачу»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Каждый агент — отдельный проект со своим стеком, циклом сопровождения и интеграциями точка-точка; стоимость каждого следующего агента не снижается. В фабрике предельная стоимость новой специальности — конфигурация плюс аттестация; интеграции переиспользуются через общий слой данных, а правила — через язык шаблонов.</w:t>
      </w:r>
    </w:p>
    <w:p>
      <w:pPr>
        <w:pStyle w:val="Heading2"/>
      </w:pPr>
      <w:r>
        <w:t>Итог</w:t>
      </w:r>
    </w:p>
    <w:p>
      <w:pPr>
        <w:spacing w:after="120"/>
      </w:pPr>
      <w:r>
        <w:rPr>
          <w:b w:val="0"/>
          <w:i w:val="0"/>
          <w:color w:val="212826"/>
          <w:sz w:val="22"/>
        </w:rPr>
        <w:t>Предлагаемая архитектура одновременно: (1) оставляет код, данные и модели в собственности и периметре города; (2) опирается на открытые стандарты под нейтральным управлением — без привязки к вендору, включая ООО «Окстех»; (3) даёт процессный контроль качества и пооперационный аудит; (4) масштабируется рынком исполнителей и переиспользованием (ядро, инструменты, шаблоны правил), а не мощностями одного поставщика.</w:t>
      </w:r>
    </w:p>
    <w:p>
      <w:pPr>
        <w:spacing w:after="40"/>
      </w:pPr>
    </w:p>
    <w:p>
      <w:pPr>
        <w:spacing w:after="120"/>
      </w:pPr>
      <w:r>
        <w:rPr>
          <w:b w:val="0"/>
          <w:i w:val="0"/>
          <w:color w:val="5E6D68"/>
          <w:sz w:val="21"/>
        </w:rPr>
        <w:t>Контакты: Смолева Галина, ООО «Окстех» · +7 (916) 127-97-90 · robot@oxteam.me · oxteam.me</w:t>
      </w:r>
    </w:p>
    <w:sectPr w:rsidR="00FC693F" w:rsidRPr="0006063C" w:rsidSect="00034616">
      <w:footerReference w:type="default" r:id="rId9"/>
      <w:pgSz w:w="11906" w:h="16838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D6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12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5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5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458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