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 w:line="240" w:lineRule="auto"/>
      </w:pPr>
      <w:r>
        <w:rPr>
          <w:rFonts w:ascii="Aptos" w:hAnsi="Aptos"/>
          <w:b/>
          <w:i w:val="0"/>
          <w:color w:val="17365D"/>
          <w:sz w:val="38"/>
        </w:rPr>
        <w:t>PROJECT HEALTH REPORTING</w:t>
      </w:r>
    </w:p>
    <w:p>
      <w:pPr>
        <w:spacing w:before="0" w:after="80" w:line="240" w:lineRule="auto"/>
      </w:pPr>
      <w:r>
        <w:rPr>
          <w:rFonts w:ascii="Aptos" w:hAnsi="Aptos"/>
          <w:b/>
          <w:i w:val="0"/>
          <w:color w:val="2E74B5"/>
          <w:sz w:val="21"/>
        </w:rPr>
        <w:t>RAG Methodology Framework</w:t>
      </w:r>
      <w:r>
        <w:rPr>
          <w:rFonts w:ascii="Aptos" w:hAnsi="Aptos"/>
          <w:b w:val="0"/>
          <w:i w:val="0"/>
          <w:color w:val="5B6573"/>
          <w:sz w:val="17"/>
        </w:rPr>
        <w:t xml:space="preserve">  |  Auditable project-health classification for Professional Services</w:t>
      </w:r>
    </w:p>
    <w:tbl>
      <w:tblPr>
        <w:tblW w:type="dxa" w:w="106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670"/>
      </w:tblGrid>
      <w:tr>
        <w:tc>
          <w:tcPr>
            <w:tcW w:type="dxa" w:w="1067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EAF1F8" w:val="clear"/>
            <w:tcBorders>
              <w:top w:val="single" w:sz="5" w:color="2E74B5"/>
              <w:left w:val="single" w:sz="5" w:color="2E74B5"/>
              <w:bottom w:val="single" w:sz="5" w:color="2E74B5"/>
              <w:right w:val="single" w:sz="5" w:color="2E74B5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 xml:space="preserve">DESIGN PRINCIPLE  </w:t>
            </w: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The RAG outcome is deterministic: fixed rules and math create a reproducible 0-100 score. AI may only summarize evidence; it cannot choose or alter a color.</w:t>
            </w:r>
          </w:p>
        </w:tc>
      </w:tr>
    </w:tbl>
    <w:p>
      <w:pPr>
        <w:spacing w:before="80" w:after="40" w:line="240" w:lineRule="auto"/>
      </w:pPr>
      <w:r>
        <w:rPr>
          <w:rFonts w:ascii="Aptos" w:hAnsi="Aptos"/>
          <w:b/>
          <w:i w:val="0"/>
          <w:color w:val="2E74B5"/>
          <w:sz w:val="18"/>
        </w:rPr>
        <w:t>1. WEIGHTED HEALTH SCORE</w:t>
      </w:r>
    </w:p>
    <w:p>
      <w:pPr>
        <w:spacing w:before="0" w:after="40" w:line="240" w:lineRule="auto"/>
      </w:pPr>
      <w:r>
        <w:rPr>
          <w:rFonts w:ascii="Aptos" w:hAnsi="Aptos"/>
          <w:b/>
          <w:i w:val="0"/>
          <w:color w:val="17365D"/>
          <w:sz w:val="17"/>
        </w:rPr>
        <w:t xml:space="preserve">Project Health Score = </w:t>
      </w:r>
      <w:r>
        <w:rPr>
          <w:rFonts w:ascii="Aptos" w:hAnsi="Aptos"/>
          <w:b/>
          <w:i w:val="0"/>
          <w:color w:val="2E74B5"/>
          <w:sz w:val="17"/>
        </w:rPr>
        <w:t>0.30S + 0.25M + 0.20B + 0.10C + 0.10E + 0.05D</w:t>
      </w:r>
      <w:r>
        <w:rPr>
          <w:rFonts w:ascii="Aptos" w:hAnsi="Aptos"/>
          <w:b w:val="0"/>
          <w:i w:val="0"/>
          <w:color w:val="5B6573"/>
          <w:sz w:val="16"/>
        </w:rPr>
        <w:t xml:space="preserve">  (0-100; higher is healthier)</w:t>
      </w:r>
    </w:p>
    <w:tbl>
      <w:tblPr>
        <w:tblW w:type="dxa" w:w="106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90"/>
        <w:gridCol w:w="760"/>
        <w:gridCol w:w="7820"/>
      </w:tblGrid>
      <w:tr>
        <w:tc>
          <w:tcPr>
            <w:tcW w:type="dxa" w:w="209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D9EAF7" w:val="clear"/>
            <w:tcBorders>
              <w:top w:val="single" w:sz="4" w:color="B8CBE0"/>
              <w:left w:val="single" w:sz="4" w:color="B8CBE0"/>
              <w:bottom w:val="single" w:sz="4" w:color="B8CBE0"/>
              <w:right w:val="single" w:sz="4" w:color="B8CBE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Signal</w:t>
            </w:r>
          </w:p>
        </w:tc>
        <w:tc>
          <w:tcPr>
            <w:tcW w:type="dxa" w:w="76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D9EAF7" w:val="clear"/>
            <w:tcBorders>
              <w:top w:val="single" w:sz="4" w:color="B8CBE0"/>
              <w:left w:val="single" w:sz="4" w:color="B8CBE0"/>
              <w:bottom w:val="single" w:sz="4" w:color="B8CBE0"/>
              <w:right w:val="single" w:sz="4" w:color="B8CBE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Weight</w:t>
            </w:r>
          </w:p>
        </w:tc>
        <w:tc>
          <w:tcPr>
            <w:tcW w:type="dxa" w:w="782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D9EAF7" w:val="clear"/>
            <w:tcBorders>
              <w:top w:val="single" w:sz="4" w:color="B8CBE0"/>
              <w:left w:val="single" w:sz="4" w:color="B8CBE0"/>
              <w:bottom w:val="single" w:sz="4" w:color="B8CBE0"/>
              <w:right w:val="single" w:sz="4" w:color="B8CBE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7365D"/>
                <w:sz w:val="16"/>
              </w:rPr>
              <w:t>Deterministic rule / scoring bands</w:t>
            </w:r>
          </w:p>
        </w:tc>
      </w:tr>
      <w:tr>
        <w:tc>
          <w:tcPr>
            <w:tcW w:type="dxa" w:w="2090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7365D"/>
                <w:sz w:val="15"/>
              </w:rPr>
              <w:t>S  Schedule health</w:t>
            </w:r>
          </w:p>
        </w:tc>
        <w:tc>
          <w:tcPr>
            <w:tcW w:type="dxa" w:w="760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30%</w:t>
            </w:r>
          </w:p>
        </w:tc>
        <w:tc>
          <w:tcPr>
            <w:tcW w:type="dxa" w:w="7820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Slippage = time elapsed % - overall % complete. 100 if &lt;=5%; 50 if &gt;5-15%; 0 if &gt;15%.</w:t>
            </w:r>
          </w:p>
        </w:tc>
      </w:tr>
      <w:tr>
        <w:tc>
          <w:tcPr>
            <w:tcW w:type="dxa" w:w="2090"/>
            <w:shd w:fill="F3F6F9" w:val="clear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7365D"/>
                <w:sz w:val="15"/>
              </w:rPr>
              <w:t>M  Milestones</w:t>
            </w:r>
          </w:p>
        </w:tc>
        <w:tc>
          <w:tcPr>
            <w:tcW w:type="dxa" w:w="760"/>
            <w:shd w:fill="F3F6F9" w:val="clear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25%</w:t>
            </w:r>
          </w:p>
        </w:tc>
        <w:tc>
          <w:tcPr>
            <w:tcW w:type="dxa" w:w="7820"/>
            <w:shd w:fill="F3F6F9" w:val="clear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100: none overdue; 80: 1-2 or &lt;=5%; 50: 3-5 or &lt;=15%; 30: &gt;5 and &gt;15%. Overdue = past end date and not Completed.</w:t>
            </w:r>
          </w:p>
        </w:tc>
      </w:tr>
      <w:tr>
        <w:tc>
          <w:tcPr>
            <w:tcW w:type="dxa" w:w="2090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7365D"/>
                <w:sz w:val="15"/>
              </w:rPr>
              <w:t>B  Risks / blockers</w:t>
            </w:r>
          </w:p>
        </w:tc>
        <w:tc>
          <w:tcPr>
            <w:tcW w:type="dxa" w:w="760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20%</w:t>
            </w:r>
          </w:p>
        </w:tc>
        <w:tc>
          <w:tcPr>
            <w:tcW w:type="dxa" w:w="7820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100: 0; 80: &lt;=3 or &lt;=3% of tasks; 50: &lt;=10 or &lt;=6%; 30: &gt;10 and &gt;6%. Includes active blockers / on-hold tasks.</w:t>
            </w:r>
          </w:p>
        </w:tc>
      </w:tr>
      <w:tr>
        <w:tc>
          <w:tcPr>
            <w:tcW w:type="dxa" w:w="2090"/>
            <w:shd w:fill="F3F6F9" w:val="clear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7365D"/>
                <w:sz w:val="15"/>
              </w:rPr>
              <w:t>C  Budget proxy</w:t>
            </w:r>
          </w:p>
        </w:tc>
        <w:tc>
          <w:tcPr>
            <w:tcW w:type="dxa" w:w="760"/>
            <w:shd w:fill="F3F6F9" w:val="clear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10%</w:t>
            </w:r>
          </w:p>
        </w:tc>
        <w:tc>
          <w:tcPr>
            <w:tcW w:type="dxa" w:w="7820"/>
            <w:shd w:fill="F3F6F9" w:val="clear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SPI = overall % complete / time elapsed %. 100 if &gt;=0.95; 50 if 0.80-0.94; 0 if &lt;0.80. If unavailable (e.g., elapsed time = 0), default 100.</w:t>
            </w:r>
          </w:p>
        </w:tc>
      </w:tr>
      <w:tr>
        <w:tc>
          <w:tcPr>
            <w:tcW w:type="dxa" w:w="2090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7365D"/>
                <w:sz w:val="15"/>
              </w:rPr>
              <w:t>E  Sentiment</w:t>
            </w:r>
          </w:p>
        </w:tc>
        <w:tc>
          <w:tcPr>
            <w:tcW w:type="dxa" w:w="760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10%</w:t>
            </w:r>
          </w:p>
        </w:tc>
        <w:tc>
          <w:tcPr>
            <w:tcW w:type="dxa" w:w="7820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Negative comment keywords: 100 none; 80 for 1-2; 65 for 3-5; 50 for 6-10; 30 for &gt;10. Keywords include delay, blocker, risk, issue, dependency, on hold, escalate.</w:t>
            </w:r>
          </w:p>
        </w:tc>
      </w:tr>
      <w:tr>
        <w:tc>
          <w:tcPr>
            <w:tcW w:type="dxa" w:w="2090"/>
            <w:shd w:fill="F3F6F9" w:val="clear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7365D"/>
                <w:sz w:val="15"/>
              </w:rPr>
              <w:t>D  Data quality</w:t>
            </w:r>
          </w:p>
        </w:tc>
        <w:tc>
          <w:tcPr>
            <w:tcW w:type="dxa" w:w="760"/>
            <w:shd w:fill="F3F6F9" w:val="clear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5%</w:t>
            </w:r>
          </w:p>
        </w:tc>
        <w:tc>
          <w:tcPr>
            <w:tcW w:type="dxa" w:w="7820"/>
            <w:shd w:fill="F3F6F9" w:val="clear"/>
            <w:tcBorders>
              <w:top w:val="single" w:sz="3" w:color="D7E1EC"/>
              <w:left w:val="single" w:sz="3" w:color="D7E1EC"/>
              <w:bottom w:val="single" w:sz="3" w:color="D7E1EC"/>
              <w:right w:val="single" w:sz="3" w:color="D7E1E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Start at 100; deduct 20 missing Summary, 10 missing Comments, 5 per unparseable date, and 15 missing core plan columns. Fall back to baseline / parent schedules.</w:t>
            </w:r>
          </w:p>
        </w:tc>
      </w:tr>
    </w:tbl>
    <w:p>
      <w:pPr>
        <w:spacing w:before="80" w:after="40" w:line="240" w:lineRule="auto"/>
      </w:pPr>
      <w:r>
        <w:rPr>
          <w:rFonts w:ascii="Aptos" w:hAnsi="Aptos"/>
          <w:b/>
          <w:i w:val="0"/>
          <w:color w:val="2E74B5"/>
          <w:sz w:val="18"/>
        </w:rPr>
        <w:t>2. PORTFOLIO CLASSIFICATION &amp; GOVERNANCE</w:t>
      </w:r>
    </w:p>
    <w:p>
      <w:pPr>
        <w:spacing w:before="0" w:after="40" w:line="240" w:lineRule="auto"/>
      </w:pPr>
      <w:r>
        <w:rPr>
          <w:rFonts w:ascii="Aptos" w:hAnsi="Aptos"/>
          <w:b/>
          <w:i w:val="0"/>
          <w:color w:val="17365D"/>
          <w:sz w:val="17"/>
        </w:rPr>
        <w:t xml:space="preserve">RAG mapping: </w:t>
      </w:r>
      <w:r>
        <w:rPr>
          <w:rFonts w:ascii="Aptos" w:hAnsi="Aptos"/>
          <w:b/>
          <w:i w:val="0"/>
          <w:color w:val="276749"/>
          <w:sz w:val="17"/>
        </w:rPr>
        <w:t>80-100 GREEN</w:t>
      </w:r>
      <w:r>
        <w:rPr>
          <w:rFonts w:ascii="Aptos" w:hAnsi="Aptos"/>
          <w:b w:val="0"/>
          <w:i w:val="0"/>
          <w:color w:val="5B6573"/>
          <w:sz w:val="16"/>
        </w:rPr>
        <w:t xml:space="preserve"> (normal tracking)   </w:t>
      </w:r>
      <w:r>
        <w:rPr>
          <w:rFonts w:ascii="Aptos" w:hAnsi="Aptos"/>
          <w:b/>
          <w:i w:val="0"/>
          <w:color w:val="9A6700"/>
          <w:sz w:val="17"/>
        </w:rPr>
        <w:t>60-79 AMBER</w:t>
      </w:r>
      <w:r>
        <w:rPr>
          <w:rFonts w:ascii="Aptos" w:hAnsi="Aptos"/>
          <w:b w:val="0"/>
          <w:i w:val="0"/>
          <w:color w:val="5B6573"/>
          <w:sz w:val="16"/>
        </w:rPr>
        <w:t xml:space="preserve"> (weekly mitigation)   </w:t>
      </w:r>
      <w:r>
        <w:rPr>
          <w:rFonts w:ascii="Aptos" w:hAnsi="Aptos"/>
          <w:b/>
          <w:i w:val="0"/>
          <w:color w:val="B42318"/>
          <w:sz w:val="17"/>
        </w:rPr>
        <w:t>&lt;60 RED</w:t>
      </w:r>
      <w:r>
        <w:rPr>
          <w:rFonts w:ascii="Aptos" w:hAnsi="Aptos"/>
          <w:b w:val="0"/>
          <w:i w:val="0"/>
          <w:color w:val="5B6573"/>
          <w:sz w:val="16"/>
        </w:rPr>
        <w:t xml:space="preserve"> (executive intervention)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ptos" w:hAnsi="Aptos"/>
          <w:b w:val="0"/>
          <w:i w:val="0"/>
          <w:color w:val="1F2937"/>
          <w:sz w:val="16"/>
        </w:rPr>
        <w:t>Summary status sync: Summary = Red/Critical forces Red. Summary = Yellow/Amber can downgrade a calculated Green to Amber.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ptos" w:hAnsi="Aptos"/>
          <w:b w:val="0"/>
          <w:i w:val="0"/>
          <w:color w:val="1F2937"/>
          <w:sz w:val="16"/>
        </w:rPr>
        <w:t>Severe slippage: slippage &gt;25% forces Red.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ptos" w:hAnsi="Aptos"/>
          <w:b w:val="0"/>
          <w:i w:val="0"/>
          <w:color w:val="1F2937"/>
          <w:sz w:val="16"/>
        </w:rPr>
        <w:t>High blocker: force Red only when blockers &gt;=15, blockers &gt;=10% of tasks, and slippage is positive (&gt;5%).</w:t>
      </w:r>
    </w:p>
    <w:p>
      <w:pPr>
        <w:spacing w:before="80" w:after="40" w:line="240" w:lineRule="auto"/>
      </w:pPr>
      <w:r>
        <w:rPr>
          <w:rFonts w:ascii="Aptos" w:hAnsi="Aptos"/>
          <w:b/>
          <w:i w:val="0"/>
          <w:color w:val="2E74B5"/>
          <w:sz w:val="18"/>
        </w:rPr>
        <w:t>3. WHY RULES FIRST, LLM SECOND</w:t>
      </w:r>
    </w:p>
    <w:p>
      <w:pPr>
        <w:spacing w:before="0" w:after="0" w:line="240" w:lineRule="auto"/>
      </w:pPr>
      <w:r>
        <w:rPr>
          <w:rFonts w:ascii="Aptos" w:hAnsi="Aptos"/>
          <w:b/>
          <w:i w:val="0"/>
          <w:color w:val="17365D"/>
          <w:sz w:val="16"/>
        </w:rPr>
        <w:t xml:space="preserve">Repeatable &amp; auditable. </w:t>
      </w:r>
      <w:r>
        <w:rPr>
          <w:rFonts w:ascii="Aptos" w:hAnsi="Aptos"/>
          <w:b w:val="0"/>
          <w:i w:val="0"/>
          <w:color w:val="1F2937"/>
          <w:sz w:val="16"/>
        </w:rPr>
        <w:t>Every color traces to the same inputs, thresholds, and calculations (for example, 14.7% slippage and four blockers), at local-rule speed and cost.</w:t>
      </w:r>
    </w:p>
    <w:p>
      <w:pPr>
        <w:spacing w:before="20" w:after="0" w:line="240" w:lineRule="auto"/>
      </w:pPr>
      <w:r>
        <w:rPr>
          <w:rFonts w:ascii="Aptos" w:hAnsi="Aptos"/>
          <w:b/>
          <w:i w:val="0"/>
          <w:color w:val="17365D"/>
          <w:sz w:val="16"/>
        </w:rPr>
        <w:t xml:space="preserve">Explanation layer only. </w:t>
      </w:r>
      <w:r>
        <w:rPr>
          <w:rFonts w:ascii="Aptos" w:hAnsi="Aptos"/>
          <w:b w:val="0"/>
          <w:i w:val="0"/>
          <w:color w:val="1F2937"/>
          <w:sz w:val="16"/>
        </w:rPr>
        <w:t>Local Qwen3.5-0.8B (Q4_K_M GGUF, cached under .models/) polishes quantitative write-ups; Gemini is optional. If inference is unavailable, the deterministic explanation is used. Neither provider can alter RAG.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835" w:bottom="662" w:left="835" w:header="36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ptos" w:hAnsi="Aptos"/>
        <w:b w:val="0"/>
        <w:i w:val="0"/>
        <w:color w:val="5B6573"/>
        <w:sz w:val="14"/>
      </w:rPr>
      <w:t>Project Health Reporting  •  Deterministic methodology brief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ptos" w:hAnsi="Aptos"/>
        <w:b/>
        <w:i w:val="0"/>
        <w:color w:val="2E74B5"/>
        <w:sz w:val="15"/>
      </w:rPr>
      <w:t>AI ENGINEER TECHNICAL ASSIGNMENT</w:t>
    </w:r>
    <w:r>
      <w:rPr>
        <w:rFonts w:ascii="Aptos" w:hAnsi="Aptos"/>
        <w:b w:val="0"/>
        <w:i w:val="0"/>
        <w:color w:val="5B6573"/>
        <w:sz w:val="15"/>
      </w:rPr>
      <w:t xml:space="preserve">   |   DELIVERY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1F29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Health Reporting: RAG Methodology Framework</dc:title>
  <dc:subject>Deterministic RAG methodology for Professional Services delivery projects</dc:subject>
  <dc:creator>AI Engineer Technical Assignment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