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jc w:val="center"/>
      </w:pPr>
      <w:r>
        <w:rPr>
          <w:rFonts w:ascii="Times New Roman" w:hAnsi="Times New Roman" w:cs="Times New Roman" w:eastAsia="Times New Roman"/>
          <w:b/>
          <w:i w:val="0"/>
          <w:color w:val="003366"/>
          <w:sz w:val="32"/>
        </w:rPr>
        <w:t>TỐI ƯU HÓA PHÁC ĐỒ ĐIỀU TRỊ NHIỄM KHUẨN GRAM ÂM SINH METALLO-β-LACTAMASE (MBL/NDM) THEO HƯỚNG DẪN IDSA 2026</w:t>
      </w:r>
    </w:p>
    <w:p>
      <w:pPr>
        <w:spacing w:before="40" w:after="120"/>
        <w:jc w:val="center"/>
      </w:pPr>
      <w:r>
        <w:rPr>
          <w:rFonts w:ascii="Times New Roman" w:hAnsi="Times New Roman" w:cs="Times New Roman" w:eastAsia="Times New Roman"/>
          <w:b w:val="0"/>
          <w:i/>
          <w:color w:val="646464"/>
          <w:sz w:val="22"/>
        </w:rPr>
        <w:t>Ngày ban hành: 01/03/2026 | Cơ quan chủ trì: Ban Dược lâm sàng &amp; Thông tin thuốc | Tài liệu tham chiếu: Hướng dẫn IDSA 2026 về Điều trị Nhiễm khuẩn Gram âm kháng thuốc</w:t>
      </w:r>
    </w:p>
    <w:p>
      <w:pPr>
        <w:spacing w:before="160" w:after="160"/>
        <w:pBdr>
          <w:bottom w:val="single" w:sz="8" w:space="1" w:color="003366"/>
        </w:pBdr>
      </w:pPr>
    </w:p>
    <w:p>
      <w:pPr>
        <w:keepNext/>
        <w:spacing w:before="280" w:after="80"/>
      </w:pPr>
      <w:r>
        <w:rPr>
          <w:rFonts w:ascii="Times New Roman" w:hAnsi="Times New Roman" w:cs="Times New Roman" w:eastAsia="Times New Roman"/>
          <w:b/>
          <w:i w:val="0"/>
          <w:color w:val="003C78"/>
          <w:sz w:val="27"/>
        </w:rPr>
        <w:t>TÓM TẮT CÁC ĐIỂM THEN CHỐT</w:t>
      </w:r>
    </w:p>
    <w:p>
      <w:pPr>
        <w:pStyle w:val="ListBullet"/>
        <w:spacing w:before="40" w:after="60" w:line="276" w:lineRule="auto"/>
        <w:jc w:val="both"/>
      </w:pPr>
      <w:r>
        <w:rPr>
          <w:rFonts w:ascii="Times New Roman" w:hAnsi="Times New Roman" w:cs="Times New Roman" w:eastAsia="Times New Roman"/>
          <w:b/>
          <w:i w:val="0"/>
          <w:color w:val="1E1E1E"/>
          <w:sz w:val="24"/>
        </w:rPr>
        <w:t>Thách thức điều trị lớn nhất:</w:t>
      </w:r>
      <w:r>
        <w:rPr>
          <w:rFonts w:ascii="Times New Roman" w:hAnsi="Times New Roman" w:cs="Times New Roman" w:eastAsia="Times New Roman"/>
          <w:b w:val="0"/>
          <w:i w:val="0"/>
          <w:color w:val="1E1E1E"/>
          <w:sz w:val="24"/>
        </w:rPr>
        <w:t xml:space="preserve"> Enzym Metallo-β-lactamase (MBL; tiêu biểu là các enzym NDM, VIM, IMP) thuộc nhóm carbapenemase lớp B (Ambler Class B) có khả năng thủy phân hầu hết các kháng sinh nhóm β-lactam, bao gồm toàn bộ các carbapenem. Các chất ức chế thế hệ mới như avibactam, vaborbactam, relebactam và tazobactam </w:t>
      </w:r>
      <w:r>
        <w:rPr>
          <w:rFonts w:ascii="Times New Roman" w:hAnsi="Times New Roman" w:cs="Times New Roman" w:eastAsia="Times New Roman"/>
          <w:b/>
          <w:i w:val="0"/>
          <w:color w:val="1E1E1E"/>
          <w:sz w:val="24"/>
        </w:rPr>
        <w:t>hoàn toàn không có hoạt tính ức chế men MBL</w:t>
      </w:r>
      <w:r>
        <w:rPr>
          <w:rFonts w:ascii="Times New Roman" w:hAnsi="Times New Roman" w:cs="Times New Roman" w:eastAsia="Times New Roman"/>
          <w:b w:val="0"/>
          <w:i w:val="0"/>
          <w:color w:val="1E1E1E"/>
          <w:sz w:val="24"/>
        </w:rPr>
        <w:t>. Do đó, các kháng sinh phối hợp đơn lẻ như Ceftazidime–avibactam (CZA), Meropenem–vaborbactam (MVB), Imipenem–relebactam (IMR) hay Ceftolozane–tazobactam (C/T) đều bị vô hiệu hóa [1, 2].</w:t>
      </w:r>
    </w:p>
    <w:p>
      <w:pPr>
        <w:pStyle w:val="ListBullet"/>
        <w:spacing w:before="40" w:after="60" w:line="276" w:lineRule="auto"/>
        <w:jc w:val="both"/>
      </w:pPr>
      <w:r>
        <w:rPr>
          <w:rFonts w:ascii="Times New Roman" w:hAnsi="Times New Roman" w:cs="Times New Roman" w:eastAsia="Times New Roman"/>
          <w:b/>
          <w:i w:val="0"/>
          <w:color w:val="1E1E1E"/>
          <w:sz w:val="24"/>
        </w:rPr>
        <w:t>Phác đồ ưu tiên hàng đầu cho Enterobacterales sinh NDM (NDM-E):</w:t>
      </w:r>
      <w:r>
        <w:rPr>
          <w:rFonts w:ascii="Times New Roman" w:hAnsi="Times New Roman" w:cs="Times New Roman" w:eastAsia="Times New Roman"/>
          <w:b w:val="0"/>
          <w:i w:val="0"/>
          <w:color w:val="1E1E1E"/>
          <w:sz w:val="24"/>
        </w:rPr>
        <w:t xml:space="preserve"> </w:t>
      </w:r>
      <w:r>
        <w:rPr>
          <w:rFonts w:ascii="Times New Roman" w:hAnsi="Times New Roman" w:cs="Times New Roman" w:eastAsia="Times New Roman"/>
          <w:b/>
          <w:i w:val="0"/>
          <w:color w:val="1E1E1E"/>
          <w:sz w:val="24"/>
        </w:rPr>
        <w:t>Aztreonam–avibactam</w:t>
      </w:r>
      <w:r>
        <w:rPr>
          <w:rFonts w:ascii="Times New Roman" w:hAnsi="Times New Roman" w:cs="Times New Roman" w:eastAsia="Times New Roman"/>
          <w:b w:val="0"/>
          <w:i w:val="0"/>
          <w:color w:val="1E1E1E"/>
          <w:sz w:val="24"/>
        </w:rPr>
        <w:t xml:space="preserve"> (dạng phối hợp cố định tỉ lệ 3:1) hoặc </w:t>
      </w:r>
      <w:r>
        <w:rPr>
          <w:rFonts w:ascii="Times New Roman" w:hAnsi="Times New Roman" w:cs="Times New Roman" w:eastAsia="Times New Roman"/>
          <w:b/>
          <w:i w:val="0"/>
          <w:color w:val="1E1E1E"/>
          <w:sz w:val="24"/>
        </w:rPr>
        <w:t>Cefiderocol</w:t>
      </w:r>
      <w:r>
        <w:rPr>
          <w:rFonts w:ascii="Times New Roman" w:hAnsi="Times New Roman" w:cs="Times New Roman" w:eastAsia="Times New Roman"/>
          <w:b w:val="0"/>
          <w:i w:val="0"/>
          <w:color w:val="1E1E1E"/>
          <w:sz w:val="24"/>
        </w:rPr>
        <w:t xml:space="preserve"> là hai lựa chọn ưu tiên hàng đầu ngang nhau cho các trường hợp nhiễm trùng xâm lấn [1, 3, 4].</w:t>
      </w:r>
    </w:p>
    <w:p>
      <w:pPr>
        <w:pStyle w:val="ListBullet"/>
        <w:spacing w:before="40" w:after="60" w:line="276" w:lineRule="auto"/>
        <w:jc w:val="both"/>
      </w:pPr>
      <w:r>
        <w:rPr>
          <w:rFonts w:ascii="Times New Roman" w:hAnsi="Times New Roman" w:cs="Times New Roman" w:eastAsia="Times New Roman"/>
          <w:b/>
          <w:i w:val="0"/>
          <w:color w:val="1E1E1E"/>
          <w:sz w:val="24"/>
        </w:rPr>
        <w:t>Giải pháp thay thế kinh điển khi chưa có thuốc cố định:</w:t>
      </w:r>
      <w:r>
        <w:rPr>
          <w:rFonts w:ascii="Times New Roman" w:hAnsi="Times New Roman" w:cs="Times New Roman" w:eastAsia="Times New Roman"/>
          <w:b w:val="0"/>
          <w:i w:val="0"/>
          <w:color w:val="1E1E1E"/>
          <w:sz w:val="24"/>
        </w:rPr>
        <w:t xml:space="preserve"> Khi cơ sở điều trị chưa có sẵn chế phẩm phối hợp cố định Aztreonam–avibactam, phác đồ kết hợp </w:t>
      </w:r>
      <w:r>
        <w:rPr>
          <w:rFonts w:ascii="Times New Roman" w:hAnsi="Times New Roman" w:cs="Times New Roman" w:eastAsia="Times New Roman"/>
          <w:b/>
          <w:i w:val="0"/>
          <w:color w:val="1E1E1E"/>
          <w:sz w:val="24"/>
        </w:rPr>
        <w:t>Ceftazidime–avibactam cộng Aztreonam</w:t>
      </w:r>
      <w:r>
        <w:rPr>
          <w:rFonts w:ascii="Times New Roman" w:hAnsi="Times New Roman" w:cs="Times New Roman" w:eastAsia="Times New Roman"/>
          <w:b w:val="0"/>
          <w:i w:val="0"/>
          <w:color w:val="1E1E1E"/>
          <w:sz w:val="24"/>
        </w:rPr>
        <w:t xml:space="preserve"> (truyền đồng thời qua chạc ba Y-site) là lựa chọn thay thế hiệu quả nhất đã được chứng minh qua nhiều thử nghiệm lâm sàng và nghiên cứu đoàn hệ tiền cứu [1, 5, 6].</w:t>
      </w:r>
    </w:p>
    <w:p>
      <w:pPr>
        <w:pStyle w:val="ListBullet"/>
        <w:spacing w:before="40" w:after="60" w:line="276" w:lineRule="auto"/>
        <w:jc w:val="both"/>
      </w:pPr>
      <w:r>
        <w:rPr>
          <w:rFonts w:ascii="Times New Roman" w:hAnsi="Times New Roman" w:cs="Times New Roman" w:eastAsia="Times New Roman"/>
          <w:b/>
          <w:i w:val="0"/>
          <w:color w:val="1E1E1E"/>
          <w:sz w:val="24"/>
        </w:rPr>
        <w:t>Khác biệt sống còn ở *Pseudomonas aeruginosa* sinh MBL:</w:t>
      </w:r>
      <w:r>
        <w:rPr>
          <w:rFonts w:ascii="Times New Roman" w:hAnsi="Times New Roman" w:cs="Times New Roman" w:eastAsia="Times New Roman"/>
          <w:b w:val="0"/>
          <w:i w:val="0"/>
          <w:color w:val="1E1E1E"/>
          <w:sz w:val="24"/>
        </w:rPr>
        <w:t xml:space="preserve"> </w:t>
      </w:r>
      <w:r>
        <w:rPr>
          <w:rFonts w:ascii="Times New Roman" w:hAnsi="Times New Roman" w:cs="Times New Roman" w:eastAsia="Times New Roman"/>
          <w:b/>
          <w:i w:val="0"/>
          <w:color w:val="1E1E1E"/>
          <w:sz w:val="24"/>
        </w:rPr>
        <w:t>Cefiderocol là lựa chọn ưu tiên số 1 duy nhất</w:t>
      </w:r>
      <w:r>
        <w:rPr>
          <w:rFonts w:ascii="Times New Roman" w:hAnsi="Times New Roman" w:cs="Times New Roman" w:eastAsia="Times New Roman"/>
          <w:b w:val="0"/>
          <w:i w:val="0"/>
          <w:color w:val="1E1E1E"/>
          <w:sz w:val="24"/>
        </w:rPr>
        <w:t xml:space="preserve"> cho </w:t>
      </w:r>
      <w:r>
        <w:rPr>
          <w:rFonts w:ascii="Times New Roman" w:hAnsi="Times New Roman" w:cs="Times New Roman" w:eastAsia="Times New Roman"/>
          <w:b w:val="0"/>
          <w:i/>
          <w:color w:val="1E1E1E"/>
          <w:sz w:val="24"/>
        </w:rPr>
        <w:t>P. aeruginosa</w:t>
      </w:r>
      <w:r>
        <w:rPr>
          <w:rFonts w:ascii="Times New Roman" w:hAnsi="Times New Roman" w:cs="Times New Roman" w:eastAsia="Times New Roman"/>
          <w:b w:val="0"/>
          <w:i w:val="0"/>
          <w:color w:val="1E1E1E"/>
          <w:sz w:val="24"/>
        </w:rPr>
        <w:t xml:space="preserve"> sinh MBL (chủ yếu là men VIM). Aztreonam–avibactam </w:t>
      </w:r>
      <w:r>
        <w:rPr>
          <w:rFonts w:ascii="Times New Roman" w:hAnsi="Times New Roman" w:cs="Times New Roman" w:eastAsia="Times New Roman"/>
          <w:b/>
          <w:i w:val="0"/>
          <w:color w:val="1E1E1E"/>
          <w:sz w:val="24"/>
        </w:rPr>
        <w:t>không được khuyến cáo</w:t>
      </w:r>
      <w:r>
        <w:rPr>
          <w:rFonts w:ascii="Times New Roman" w:hAnsi="Times New Roman" w:cs="Times New Roman" w:eastAsia="Times New Roman"/>
          <w:b w:val="0"/>
          <w:i w:val="0"/>
          <w:color w:val="1E1E1E"/>
          <w:sz w:val="24"/>
        </w:rPr>
        <w:t xml:space="preserve"> cho </w:t>
      </w:r>
      <w:r>
        <w:rPr>
          <w:rFonts w:ascii="Times New Roman" w:hAnsi="Times New Roman" w:cs="Times New Roman" w:eastAsia="Times New Roman"/>
          <w:b w:val="0"/>
          <w:i/>
          <w:color w:val="1E1E1E"/>
          <w:sz w:val="24"/>
        </w:rPr>
        <w:t>P. aeruginosa</w:t>
      </w:r>
      <w:r>
        <w:rPr>
          <w:rFonts w:ascii="Times New Roman" w:hAnsi="Times New Roman" w:cs="Times New Roman" w:eastAsia="Times New Roman"/>
          <w:b w:val="0"/>
          <w:i w:val="0"/>
          <w:color w:val="1E1E1E"/>
          <w:sz w:val="24"/>
        </w:rPr>
        <w:t xml:space="preserve"> do hệ thống bơm tống thuốc MexAB-OprM làm suy giảm nồng độ nội bào của aztreonam [1, 7].</w:t>
      </w:r>
    </w:p>
    <w:p>
      <w:pPr>
        <w:pStyle w:val="ListBullet"/>
        <w:spacing w:before="40" w:after="60" w:line="276" w:lineRule="auto"/>
        <w:jc w:val="both"/>
      </w:pPr>
      <w:r>
        <w:rPr>
          <w:rFonts w:ascii="Times New Roman" w:hAnsi="Times New Roman" w:cs="Times New Roman" w:eastAsia="Times New Roman"/>
          <w:b/>
          <w:i w:val="0"/>
          <w:color w:val="1E1E1E"/>
          <w:sz w:val="24"/>
        </w:rPr>
        <w:t>Mối đe dọa đề kháng mới nổi (PBP3 Inserts):</w:t>
      </w:r>
      <w:r>
        <w:rPr>
          <w:rFonts w:ascii="Times New Roman" w:hAnsi="Times New Roman" w:cs="Times New Roman" w:eastAsia="Times New Roman"/>
          <w:b w:val="0"/>
          <w:i w:val="0"/>
          <w:color w:val="1E1E1E"/>
          <w:sz w:val="24"/>
        </w:rPr>
        <w:t xml:space="preserve"> Sự xuất hiện của các chủng </w:t>
      </w:r>
      <w:r>
        <w:rPr>
          <w:rFonts w:ascii="Times New Roman" w:hAnsi="Times New Roman" w:cs="Times New Roman" w:eastAsia="Times New Roman"/>
          <w:b w:val="0"/>
          <w:i/>
          <w:color w:val="1E1E1E"/>
          <w:sz w:val="24"/>
        </w:rPr>
        <w:t>Escherichia coli</w:t>
      </w:r>
      <w:r>
        <w:rPr>
          <w:rFonts w:ascii="Times New Roman" w:hAnsi="Times New Roman" w:cs="Times New Roman" w:eastAsia="Times New Roman"/>
          <w:b w:val="0"/>
          <w:i w:val="0"/>
          <w:color w:val="1E1E1E"/>
          <w:sz w:val="24"/>
        </w:rPr>
        <w:t xml:space="preserve"> sinh NDM mang đột biến chèn 4 axit amin ở PBP3 (</w:t>
      </w:r>
      <w:r>
        <w:rPr>
          <w:rFonts w:ascii="Times New Roman" w:hAnsi="Times New Roman" w:cs="Times New Roman" w:eastAsia="Times New Roman"/>
          <w:b w:val="0"/>
          <w:i/>
          <w:color w:val="1E1E1E"/>
          <w:sz w:val="24"/>
        </w:rPr>
        <w:t>YRIN, YRIK</w:t>
      </w:r>
      <w:r>
        <w:rPr>
          <w:rFonts w:ascii="Times New Roman" w:hAnsi="Times New Roman" w:cs="Times New Roman" w:eastAsia="Times New Roman"/>
          <w:b w:val="0"/>
          <w:i w:val="0"/>
          <w:color w:val="1E1E1E"/>
          <w:sz w:val="24"/>
        </w:rPr>
        <w:t>) kết hợp biểu hiện enzym AmpC kiểu CMY làm mất tính nhạy cảm đồng thời với cả Aztreonam–avibactam lẫn Cefiderocol. Khi gặp tình huống này, bắt buộc phải phối hợp cá thể hóa với Fosfomycin tiêm truyền, Polymyxin B hoặc Tigecycline [1, 8].</w:t>
      </w:r>
    </w:p>
    <w:p>
      <w:pPr>
        <w:spacing w:before="160" w:after="160"/>
        <w:pBdr>
          <w:bottom w:val="single" w:sz="8" w:space="1" w:color="003366"/>
        </w:pBdr>
      </w:pPr>
    </w:p>
    <w:p>
      <w:pPr>
        <w:keepNext/>
        <w:spacing w:before="280" w:after="80"/>
      </w:pPr>
      <w:r>
        <w:rPr>
          <w:rFonts w:ascii="Times New Roman" w:hAnsi="Times New Roman" w:cs="Times New Roman" w:eastAsia="Times New Roman"/>
          <w:b/>
          <w:i w:val="0"/>
          <w:color w:val="003C78"/>
          <w:sz w:val="27"/>
        </w:rPr>
        <w:t>1. BỐI CẢNH DỊCH TỄ VÀ CƠ CHẾ PHÂN TỬ CỦA METALLO-β-LACTAMASE</w:t>
      </w:r>
    </w:p>
    <w:p>
      <w:pPr>
        <w:keepNext/>
        <w:spacing w:before="220" w:after="60"/>
      </w:pPr>
      <w:r>
        <w:rPr>
          <w:rFonts w:ascii="Times New Roman" w:hAnsi="Times New Roman" w:cs="Times New Roman" w:eastAsia="Times New Roman"/>
          <w:b/>
          <w:i w:val="0"/>
          <w:color w:val="144B82"/>
          <w:sz w:val="25"/>
        </w:rPr>
        <w:t>1.1. Đặc điểm cấu trúc và cơ chế xúc tác của MBL</w:t>
      </w:r>
    </w:p>
    <w:p>
      <w:pPr>
        <w:spacing w:before="40" w:after="100" w:line="276" w:lineRule="auto"/>
        <w:jc w:val="both"/>
      </w:pPr>
      <w:r>
        <w:rPr>
          <w:rFonts w:ascii="Times New Roman" w:hAnsi="Times New Roman" w:cs="Times New Roman" w:eastAsia="Times New Roman"/>
          <w:b w:val="0"/>
          <w:i w:val="0"/>
          <w:color w:val="1E1E1E"/>
          <w:sz w:val="24"/>
        </w:rPr>
        <w:t>Metallo-β-lactamase là các enzym β-lactamase thuộc lớp B theo phân loại phân tử Ambler (Ambler Class B). Khác biệt căn bản với các enzym carbapenemase lớp A (như KPC) hoặc lớp D (như OXA-48-like) vốn sử dụng gốc axit amin serine tại trung tâm hoạt động để mở vòng β-lactam, men MBL phụ thuộc hoàn toàn vào một hoặc hai ion kẽm (Zn²⁺) tại vị trí xúc tác [1, 2].</w:t>
      </w:r>
    </w:p>
    <w:p>
      <w:pPr>
        <w:spacing w:before="40" w:after="100" w:line="276" w:lineRule="auto"/>
        <w:jc w:val="both"/>
      </w:pPr>
      <w:r>
        <w:rPr>
          <w:rFonts w:ascii="Times New Roman" w:hAnsi="Times New Roman" w:cs="Times New Roman" w:eastAsia="Times New Roman"/>
          <w:b w:val="0"/>
          <w:i w:val="0"/>
          <w:color w:val="1E1E1E"/>
          <w:sz w:val="24"/>
        </w:rPr>
        <w:t>Ion Zn²⁺ có vai trò phối trí và hoạt hóa một phân tử nước, tạo ra tiểu phân mang điện tích âm đóng vai trò tác nhân ái nhân (nucleophile) tấn công làm đứt gãy liên kết amide của vòng β-lactam. Do cơ chế xúc tác dựa trên kim loại này:</w:t>
      </w:r>
    </w:p>
    <w:p>
      <w:pPr>
        <w:pStyle w:val="ListBullet"/>
        <w:spacing w:before="40" w:after="60" w:line="276" w:lineRule="auto"/>
        <w:jc w:val="both"/>
      </w:pPr>
      <w:r>
        <w:rPr>
          <w:rFonts w:ascii="Times New Roman" w:hAnsi="Times New Roman" w:cs="Times New Roman" w:eastAsia="Times New Roman"/>
          <w:b w:val="0"/>
          <w:i w:val="0"/>
          <w:color w:val="1E1E1E"/>
          <w:sz w:val="24"/>
        </w:rPr>
        <w:t>Enzym MBL thủy phân được toàn bộ các kháng sinh nhóm penicillin, cephalosporin (từ thế hệ 1 đến thế hệ 4) và tất cả các carbapenem (ertapenem, imipenem, meropenem).</w:t>
      </w:r>
    </w:p>
    <w:p>
      <w:pPr>
        <w:pStyle w:val="ListBullet"/>
        <w:spacing w:before="40" w:after="60" w:line="276" w:lineRule="auto"/>
        <w:jc w:val="both"/>
      </w:pPr>
      <w:r>
        <w:rPr>
          <w:rFonts w:ascii="Times New Roman" w:hAnsi="Times New Roman" w:cs="Times New Roman" w:eastAsia="Times New Roman"/>
          <w:b/>
          <w:i w:val="0"/>
          <w:color w:val="1E1E1E"/>
          <w:sz w:val="24"/>
        </w:rPr>
        <w:t>Ngoại lệ duy nhất:</w:t>
      </w:r>
      <w:r>
        <w:rPr>
          <w:rFonts w:ascii="Times New Roman" w:hAnsi="Times New Roman" w:cs="Times New Roman" w:eastAsia="Times New Roman"/>
          <w:b w:val="0"/>
          <w:i w:val="0"/>
          <w:color w:val="1E1E1E"/>
          <w:sz w:val="24"/>
        </w:rPr>
        <w:t xml:space="preserve"> </w:t>
      </w:r>
      <w:r>
        <w:rPr>
          <w:rFonts w:ascii="Times New Roman" w:hAnsi="Times New Roman" w:cs="Times New Roman" w:eastAsia="Times New Roman"/>
          <w:b/>
          <w:i w:val="0"/>
          <w:color w:val="1E1E1E"/>
          <w:sz w:val="24"/>
        </w:rPr>
        <w:t>Aztreonam</w:t>
      </w:r>
      <w:r>
        <w:rPr>
          <w:rFonts w:ascii="Times New Roman" w:hAnsi="Times New Roman" w:cs="Times New Roman" w:eastAsia="Times New Roman"/>
          <w:b w:val="0"/>
          <w:i w:val="0"/>
          <w:color w:val="1E1E1E"/>
          <w:sz w:val="24"/>
        </w:rPr>
        <w:t xml:space="preserve"> (kháng sinh thuộc phân lớp monobactam) có cấu trúc không gian đặc thù nên không phải là cơ chất của men MBL và hoàn toàn bền vững trước sự thủy phân của enzym này [1, 2].</w:t>
      </w:r>
    </w:p>
    <w:p>
      <w:pPr>
        <w:keepNext/>
        <w:spacing w:before="220" w:after="60"/>
      </w:pPr>
      <w:r>
        <w:rPr>
          <w:rFonts w:ascii="Times New Roman" w:hAnsi="Times New Roman" w:cs="Times New Roman" w:eastAsia="Times New Roman"/>
          <w:b/>
          <w:i w:val="0"/>
          <w:color w:val="144B82"/>
          <w:sz w:val="25"/>
        </w:rPr>
        <w:t>1.2. Hiện tượng đồng sản xuất enzym và nghịch lý điều trị</w:t>
      </w:r>
    </w:p>
    <w:p>
      <w:pPr>
        <w:spacing w:before="40" w:after="100" w:line="276" w:lineRule="auto"/>
        <w:jc w:val="both"/>
      </w:pPr>
      <w:r>
        <w:rPr>
          <w:rFonts w:ascii="Times New Roman" w:hAnsi="Times New Roman" w:cs="Times New Roman" w:eastAsia="Times New Roman"/>
          <w:b w:val="0"/>
          <w:i w:val="0"/>
          <w:color w:val="1E1E1E"/>
          <w:sz w:val="24"/>
        </w:rPr>
        <w:t xml:space="preserve">Trên lâm sàng thực tế, các chủng vi khuẩn mang gen MBL (đặc biệt là gen </w:t>
      </w:r>
      <w:r>
        <w:rPr>
          <w:rFonts w:ascii="Times New Roman" w:hAnsi="Times New Roman" w:cs="Times New Roman" w:eastAsia="Times New Roman"/>
          <w:b w:val="0"/>
          <w:i/>
          <w:color w:val="1E1E1E"/>
          <w:sz w:val="24"/>
        </w:rPr>
        <w:t>bla</w:t>
      </w:r>
      <w:r>
        <w:rPr>
          <w:b w:val="0"/>
          <w:i w:val="0"/>
          <w:color w:val="1E1E1E"/>
          <w:sz w:val="20"/>
          <w:vertAlign w:val="subscript"/>
          <w:rFonts w:ascii="Times New Roman" w:hAnsi="Times New Roman" w:cs="Times New Roman" w:eastAsia="Times New Roman"/>
        </w:rPr>
        <w:t>NDM</w:t>
      </w:r>
      <w:r>
        <w:rPr>
          <w:rFonts w:ascii="Times New Roman" w:hAnsi="Times New Roman" w:cs="Times New Roman" w:eastAsia="Times New Roman"/>
          <w:b w:val="0"/>
          <w:i w:val="0"/>
          <w:color w:val="1E1E1E"/>
          <w:sz w:val="24"/>
        </w:rPr>
        <w:t>) hầu như không bao giờ tồn tại đơn độc. Chúng gần như luôn mang kèm các gen mã hóa cho nhiều enzym serine β-lactamase khác nhau, bao gồm:</w:t>
      </w:r>
    </w:p>
    <w:p>
      <w:pPr>
        <w:pStyle w:val="ListBullet"/>
        <w:spacing w:before="40" w:after="60" w:line="276" w:lineRule="auto"/>
        <w:jc w:val="both"/>
      </w:pPr>
      <w:r>
        <w:rPr>
          <w:rFonts w:ascii="Times New Roman" w:hAnsi="Times New Roman" w:cs="Times New Roman" w:eastAsia="Times New Roman"/>
          <w:b w:val="0"/>
          <w:i w:val="0"/>
          <w:color w:val="1E1E1E"/>
          <w:sz w:val="24"/>
        </w:rPr>
        <w:t>Các men ESBL (phổ biến nhất là CTX-M-15).</w:t>
      </w:r>
    </w:p>
    <w:p>
      <w:pPr>
        <w:pStyle w:val="ListBullet"/>
        <w:spacing w:before="40" w:after="60" w:line="276" w:lineRule="auto"/>
        <w:jc w:val="both"/>
      </w:pPr>
      <w:r>
        <w:rPr>
          <w:rFonts w:ascii="Times New Roman" w:hAnsi="Times New Roman" w:cs="Times New Roman" w:eastAsia="Times New Roman"/>
          <w:b w:val="0"/>
          <w:i w:val="0"/>
          <w:color w:val="1E1E1E"/>
          <w:sz w:val="24"/>
        </w:rPr>
        <w:t>Các men AmpC qua trung gian plasmid (như CMY-2, DHA-1).</w:t>
      </w:r>
    </w:p>
    <w:p>
      <w:pPr>
        <w:pStyle w:val="ListBullet"/>
        <w:spacing w:before="40" w:after="60" w:line="276" w:lineRule="auto"/>
        <w:jc w:val="both"/>
      </w:pPr>
      <w:r>
        <w:rPr>
          <w:rFonts w:ascii="Times New Roman" w:hAnsi="Times New Roman" w:cs="Times New Roman" w:eastAsia="Times New Roman"/>
          <w:b w:val="0"/>
          <w:i w:val="0"/>
          <w:color w:val="1E1E1E"/>
          <w:sz w:val="24"/>
        </w:rPr>
        <w:t>Các enzym oxacillinase phổ hẹp hoặc phổ mở rộng (như OXA-1, OXA-10) [1, 2].</w:t>
      </w:r>
    </w:p>
    <w:p>
      <w:pPr>
        <w:spacing w:before="40" w:after="100" w:line="276" w:lineRule="auto"/>
        <w:jc w:val="both"/>
      </w:pPr>
      <w:r>
        <w:rPr>
          <w:rFonts w:ascii="Times New Roman" w:hAnsi="Times New Roman" w:cs="Times New Roman" w:eastAsia="Times New Roman"/>
          <w:b w:val="0"/>
          <w:i w:val="0"/>
          <w:color w:val="1E1E1E"/>
          <w:sz w:val="24"/>
        </w:rPr>
        <w:t>Chính các men serine β-lactamase đồng hành này sẽ thủy phân aztreonam, khiến việc dùng aztreonam đơn độc bị mất tác dụng. Đồng thời, các chất ức chế β-lactamase thế hệ mới như avibactam, vaborbactam và relebactam chỉ có khả năng ức chế men serine mà hoàn toàn bất lực trước MBL.</w:t>
      </w:r>
    </w:p>
    <w:p>
      <w:pPr>
        <w:spacing w:before="40" w:after="100" w:line="276" w:lineRule="auto"/>
        <w:jc w:val="both"/>
      </w:pPr>
      <w:r>
        <w:rPr>
          <w:rFonts w:ascii="Times New Roman" w:hAnsi="Times New Roman" w:cs="Times New Roman" w:eastAsia="Times New Roman"/>
          <w:b w:val="0"/>
          <w:i w:val="0"/>
          <w:color w:val="1E1E1E"/>
          <w:sz w:val="24"/>
        </w:rPr>
        <w:t>Từ nghịch lý này, hai hướng tiếp cận điều trị hữu hiệu nhất đã được phát triển:</w:t>
      </w:r>
    </w:p>
    <w:p>
      <w:pPr>
        <w:pStyle w:val="ListNumber"/>
        <w:spacing w:before="40" w:after="60" w:line="276" w:lineRule="auto"/>
        <w:jc w:val="both"/>
      </w:pPr>
      <w:r>
        <w:rPr>
          <w:rFonts w:ascii="Times New Roman" w:hAnsi="Times New Roman" w:cs="Times New Roman" w:eastAsia="Times New Roman"/>
          <w:b/>
          <w:i w:val="0"/>
          <w:color w:val="1E1E1E"/>
          <w:sz w:val="24"/>
        </w:rPr>
        <w:t>Phối hợp Aztreonam với Avibactam:</w:t>
      </w:r>
      <w:r>
        <w:rPr>
          <w:rFonts w:ascii="Times New Roman" w:hAnsi="Times New Roman" w:cs="Times New Roman" w:eastAsia="Times New Roman"/>
          <w:b w:val="0"/>
          <w:i w:val="0"/>
          <w:color w:val="1E1E1E"/>
          <w:sz w:val="24"/>
        </w:rPr>
        <w:t xml:space="preserve"> Avibactam đóng vai trò "lá chắn" bất hoạt toàn bộ các men serine β-lactamase đồng hành (ESBL, AmpC, OXA), bảo vệ aztreonam nguyên vẹn để thuốc tiếp cận và gắn vào protein đích gắn penicillin 3 (PBP3) của vi khuẩn, khôi phục tác dụng diệt khuẩn [1, 3, 5].</w:t>
      </w:r>
    </w:p>
    <w:p>
      <w:pPr>
        <w:pStyle w:val="ListNumber"/>
        <w:spacing w:before="40" w:after="60" w:line="276" w:lineRule="auto"/>
        <w:jc w:val="both"/>
      </w:pPr>
      <w:r>
        <w:rPr>
          <w:rFonts w:ascii="Times New Roman" w:hAnsi="Times New Roman" w:cs="Times New Roman" w:eastAsia="Times New Roman"/>
          <w:b/>
          <w:i w:val="0"/>
          <w:color w:val="1E1E1E"/>
          <w:sz w:val="24"/>
        </w:rPr>
        <w:t>Sử dụng Cefiderocol:</w:t>
      </w:r>
      <w:r>
        <w:rPr>
          <w:rFonts w:ascii="Times New Roman" w:hAnsi="Times New Roman" w:cs="Times New Roman" w:eastAsia="Times New Roman"/>
          <w:b w:val="0"/>
          <w:i w:val="0"/>
          <w:color w:val="1E1E1E"/>
          <w:sz w:val="24"/>
        </w:rPr>
        <w:t xml:space="preserve"> Kháng sinh siderophore cephalosporin hoạt động theo cơ chế "con ngựa thành Troy", gắn kết với ion sắt (Fe³⁺) ngoại bào để xâm nhập qua màng ngoài vi khuẩn nhờ hệ thống vận chuyển sắt chủ động TonB, từ đó thoát khỏi sự phá hủy của cả men MBL lẫn các men serine carbapenemase [1, 4].</w:t>
      </w:r>
    </w:p>
    <w:p>
      <w:pPr>
        <w:spacing w:before="160" w:after="160"/>
        <w:pBdr>
          <w:bottom w:val="single" w:sz="8" w:space="1" w:color="003366"/>
        </w:pBdr>
      </w:pPr>
    </w:p>
    <w:p>
      <w:pPr>
        <w:keepNext/>
        <w:spacing w:before="280" w:after="80"/>
      </w:pPr>
      <w:r>
        <w:rPr>
          <w:rFonts w:ascii="Times New Roman" w:hAnsi="Times New Roman" w:cs="Times New Roman" w:eastAsia="Times New Roman"/>
          <w:b/>
          <w:i w:val="0"/>
          <w:color w:val="003C78"/>
          <w:sz w:val="27"/>
        </w:rPr>
        <w:t>2. CHIẾN LƯỢC ĐIỀU TRỊ ENTEROBACTERALES SINH NDM (NDM-E)</w:t>
      </w:r>
    </w:p>
    <w:p>
      <w:pPr>
        <w:spacing w:before="40" w:after="100" w:line="276" w:lineRule="auto"/>
        <w:jc w:val="both"/>
      </w:pPr>
      <w:r>
        <w:rPr>
          <w:rFonts w:ascii="Times New Roman" w:hAnsi="Times New Roman" w:cs="Times New Roman" w:eastAsia="Times New Roman"/>
          <w:b w:val="0"/>
          <w:i w:val="0"/>
          <w:color w:val="1E1E1E"/>
          <w:sz w:val="24"/>
        </w:rPr>
        <w:t>Theo Hướng dẫn IDSA 2026 (Câu hỏi 3.5), đối với các nhiễm trùng xâm lấn (nhiễm trùng huyết, viêm phổi bệnh viện, nhiễm trùng ổ bụng phức tạp, viêm thận - bể thận) do Enterobacterales sinh NDM, các phác đồ được phân tầng như sau:</w:t>
      </w:r>
    </w:p>
    <w:p>
      <w:pPr>
        <w:keepNext/>
        <w:spacing w:before="220" w:after="60"/>
      </w:pPr>
      <w:r>
        <w:rPr>
          <w:rFonts w:ascii="Times New Roman" w:hAnsi="Times New Roman" w:cs="Times New Roman" w:eastAsia="Times New Roman"/>
          <w:b/>
          <w:i w:val="0"/>
          <w:color w:val="144B82"/>
          <w:sz w:val="25"/>
        </w:rPr>
        <w:t>2.1. Phác đồ Ưu tiên Hàng đầu (Preferred Options)</w:t>
      </w:r>
    </w:p>
    <w:p>
      <w:pPr>
        <w:spacing w:before="40" w:after="100" w:line="276" w:lineRule="auto"/>
        <w:jc w:val="both"/>
      </w:pPr>
      <w:r>
        <w:rPr>
          <w:rFonts w:ascii="Times New Roman" w:hAnsi="Times New Roman" w:cs="Times New Roman" w:eastAsia="Times New Roman"/>
          <w:b w:val="0"/>
          <w:i w:val="0"/>
          <w:color w:val="1E1E1E"/>
          <w:sz w:val="24"/>
        </w:rPr>
        <w:t xml:space="preserve">Ban chuyên gia IDSA 2026 xếp </w:t>
      </w:r>
      <w:r>
        <w:rPr>
          <w:rFonts w:ascii="Times New Roman" w:hAnsi="Times New Roman" w:cs="Times New Roman" w:eastAsia="Times New Roman"/>
          <w:b/>
          <w:i w:val="0"/>
          <w:color w:val="1E1E1E"/>
          <w:sz w:val="24"/>
        </w:rPr>
        <w:t>Aztreonam–avibactam</w:t>
      </w:r>
      <w:r>
        <w:rPr>
          <w:rFonts w:ascii="Times New Roman" w:hAnsi="Times New Roman" w:cs="Times New Roman" w:eastAsia="Times New Roman"/>
          <w:b w:val="0"/>
          <w:i w:val="0"/>
          <w:color w:val="1E1E1E"/>
          <w:sz w:val="24"/>
        </w:rPr>
        <w:t xml:space="preserve"> và </w:t>
      </w:r>
      <w:r>
        <w:rPr>
          <w:rFonts w:ascii="Times New Roman" w:hAnsi="Times New Roman" w:cs="Times New Roman" w:eastAsia="Times New Roman"/>
          <w:b/>
          <w:i w:val="0"/>
          <w:color w:val="1E1E1E"/>
          <w:sz w:val="24"/>
        </w:rPr>
        <w:t>Cefiderocol</w:t>
      </w:r>
      <w:r>
        <w:rPr>
          <w:rFonts w:ascii="Times New Roman" w:hAnsi="Times New Roman" w:cs="Times New Roman" w:eastAsia="Times New Roman"/>
          <w:b w:val="0"/>
          <w:i w:val="0"/>
          <w:color w:val="1E1E1E"/>
          <w:sz w:val="24"/>
        </w:rPr>
        <w:t xml:space="preserve"> là hai lựa chọn ưu tiên ngang nhau:</w:t>
      </w:r>
    </w:p>
    <w:p>
      <w:pPr>
        <w:keepNext/>
        <w:spacing w:before="180" w:after="40"/>
      </w:pPr>
      <w:r>
        <w:rPr>
          <w:rFonts w:ascii="Times New Roman" w:hAnsi="Times New Roman" w:cs="Times New Roman" w:eastAsia="Times New Roman"/>
          <w:b/>
          <w:i w:val="0"/>
          <w:color w:val="282828"/>
          <w:sz w:val="24"/>
        </w:rPr>
        <w:t>A. Chế phẩm phối hợp cố định Aztreonam–avibactam (Tỉ lệ 3:1)</w:t>
      </w:r>
    </w:p>
    <w:p>
      <w:pPr>
        <w:pStyle w:val="ListBullet"/>
        <w:spacing w:before="40" w:after="60" w:line="276" w:lineRule="auto"/>
        <w:jc w:val="both"/>
      </w:pPr>
      <w:r>
        <w:rPr>
          <w:rFonts w:ascii="Times New Roman" w:hAnsi="Times New Roman" w:cs="Times New Roman" w:eastAsia="Times New Roman"/>
          <w:b/>
          <w:i w:val="0"/>
          <w:color w:val="1E1E1E"/>
          <w:sz w:val="24"/>
        </w:rPr>
        <w:t>Dữ liệu vi sinh:</w:t>
      </w:r>
      <w:r>
        <w:rPr>
          <w:rFonts w:ascii="Times New Roman" w:hAnsi="Times New Roman" w:cs="Times New Roman" w:eastAsia="Times New Roman"/>
          <w:b w:val="0"/>
          <w:i w:val="0"/>
          <w:color w:val="1E1E1E"/>
          <w:sz w:val="24"/>
        </w:rPr>
        <w:t xml:space="preserve"> Thử nghiệm giám sát vi sinh tại Mỹ và Châu Âu ghi nhận &gt; 95% chủng NDM-E nhạy cảm với Aztreonam–avibactam theo điểm cắt của CLSI 2026 (≤ 4/4 µg/mL) [1, 9].</w:t>
      </w:r>
    </w:p>
    <w:p>
      <w:pPr>
        <w:pStyle w:val="ListBullet"/>
        <w:spacing w:before="40" w:after="60" w:line="276" w:lineRule="auto"/>
        <w:jc w:val="both"/>
      </w:pPr>
      <w:r>
        <w:rPr>
          <w:rFonts w:ascii="Times New Roman" w:hAnsi="Times New Roman" w:cs="Times New Roman" w:eastAsia="Times New Roman"/>
          <w:b/>
          <w:i w:val="0"/>
          <w:color w:val="1E1E1E"/>
          <w:sz w:val="24"/>
        </w:rPr>
        <w:t>Bằng chứng thử nghiệm lâm sàng:</w:t>
      </w:r>
    </w:p>
    <w:p>
      <w:pPr>
        <w:pStyle w:val="ListBullet"/>
        <w:spacing w:before="40" w:after="60" w:line="276" w:lineRule="auto"/>
        <w:jc w:val="both"/>
      </w:pPr>
      <w:r>
        <w:rPr>
          <w:rFonts w:ascii="Times New Roman" w:hAnsi="Times New Roman" w:cs="Times New Roman" w:eastAsia="Times New Roman"/>
          <w:b w:val="0"/>
          <w:i w:val="0"/>
          <w:color w:val="1E1E1E"/>
          <w:sz w:val="24"/>
        </w:rPr>
        <w:t xml:space="preserve">Thử nghiệm pha 3 </w:t>
      </w:r>
      <w:r>
        <w:rPr>
          <w:rFonts w:ascii="Times New Roman" w:hAnsi="Times New Roman" w:cs="Times New Roman" w:eastAsia="Times New Roman"/>
          <w:b/>
          <w:i w:val="0"/>
          <w:color w:val="1E1E1E"/>
          <w:sz w:val="24"/>
        </w:rPr>
        <w:t>REVISIT</w:t>
      </w:r>
      <w:r>
        <w:rPr>
          <w:rFonts w:ascii="Times New Roman" w:hAnsi="Times New Roman" w:cs="Times New Roman" w:eastAsia="Times New Roman"/>
          <w:b w:val="0"/>
          <w:i w:val="0"/>
          <w:color w:val="1E1E1E"/>
          <w:sz w:val="24"/>
        </w:rPr>
        <w:t xml:space="preserve"> (</w:t>
      </w:r>
      <w:r>
        <w:rPr>
          <w:rFonts w:ascii="Times New Roman" w:hAnsi="Times New Roman" w:cs="Times New Roman" w:eastAsia="Times New Roman"/>
          <w:b w:val="0"/>
          <w:i/>
          <w:color w:val="1E1E1E"/>
          <w:sz w:val="24"/>
        </w:rPr>
        <w:t>Lancet Infect Dis</w:t>
      </w:r>
      <w:r>
        <w:rPr>
          <w:rFonts w:ascii="Times New Roman" w:hAnsi="Times New Roman" w:cs="Times New Roman" w:eastAsia="Times New Roman"/>
          <w:b w:val="0"/>
          <w:i w:val="0"/>
          <w:color w:val="1E1E1E"/>
          <w:sz w:val="24"/>
        </w:rPr>
        <w:t xml:space="preserve"> 2025): Đánh giá Aztreonam–avibactam trên bệnh nhân nhiễm trùng nặng do vi khuẩn Gram âm. Ở phân nhóm nhiễm vi khuẩn sinh NDM, tỷ lệ sống sót sau 28 ngày đạt </w:t>
      </w:r>
      <w:r>
        <w:rPr>
          <w:rFonts w:ascii="Times New Roman" w:hAnsi="Times New Roman" w:cs="Times New Roman" w:eastAsia="Times New Roman"/>
          <w:b/>
          <w:i w:val="0"/>
          <w:color w:val="1E1E1E"/>
          <w:sz w:val="24"/>
        </w:rPr>
        <w:t>83% (5/6)</w:t>
      </w:r>
      <w:r>
        <w:rPr>
          <w:rFonts w:ascii="Times New Roman" w:hAnsi="Times New Roman" w:cs="Times New Roman" w:eastAsia="Times New Roman"/>
          <w:b w:val="0"/>
          <w:i w:val="0"/>
          <w:color w:val="1E1E1E"/>
          <w:sz w:val="24"/>
        </w:rPr>
        <w:t xml:space="preserve"> [3].</w:t>
      </w:r>
    </w:p>
    <w:p>
      <w:pPr>
        <w:pStyle w:val="ListBullet"/>
        <w:spacing w:before="40" w:after="60" w:line="276" w:lineRule="auto"/>
        <w:jc w:val="both"/>
      </w:pPr>
      <w:r>
        <w:rPr>
          <w:rFonts w:ascii="Times New Roman" w:hAnsi="Times New Roman" w:cs="Times New Roman" w:eastAsia="Times New Roman"/>
          <w:b w:val="0"/>
          <w:i w:val="0"/>
          <w:color w:val="1E1E1E"/>
          <w:sz w:val="24"/>
        </w:rPr>
        <w:t xml:space="preserve">Thử nghiệm pha 3 </w:t>
      </w:r>
      <w:r>
        <w:rPr>
          <w:rFonts w:ascii="Times New Roman" w:hAnsi="Times New Roman" w:cs="Times New Roman" w:eastAsia="Times New Roman"/>
          <w:b/>
          <w:i w:val="0"/>
          <w:color w:val="1E1E1E"/>
          <w:sz w:val="24"/>
        </w:rPr>
        <w:t>ASSEMBLE</w:t>
      </w:r>
      <w:r>
        <w:rPr>
          <w:rFonts w:ascii="Times New Roman" w:hAnsi="Times New Roman" w:cs="Times New Roman" w:eastAsia="Times New Roman"/>
          <w:b w:val="0"/>
          <w:i w:val="0"/>
          <w:color w:val="1E1E1E"/>
          <w:sz w:val="24"/>
        </w:rPr>
        <w:t xml:space="preserve"> (</w:t>
      </w:r>
      <w:r>
        <w:rPr>
          <w:rFonts w:ascii="Times New Roman" w:hAnsi="Times New Roman" w:cs="Times New Roman" w:eastAsia="Times New Roman"/>
          <w:b w:val="0"/>
          <w:i/>
          <w:color w:val="1E1E1E"/>
          <w:sz w:val="24"/>
        </w:rPr>
        <w:t>JAC Antimicrob Resist</w:t>
      </w:r>
      <w:r>
        <w:rPr>
          <w:rFonts w:ascii="Times New Roman" w:hAnsi="Times New Roman" w:cs="Times New Roman" w:eastAsia="Times New Roman"/>
          <w:b w:val="0"/>
          <w:i w:val="0"/>
          <w:color w:val="1E1E1E"/>
          <w:sz w:val="24"/>
        </w:rPr>
        <w:t xml:space="preserve"> 2025): Đánh giá chuyên biệt trên các chủng sinh MBL, ghi nhận tỷ lệ sống sót sau 28 ngày đạt </w:t>
      </w:r>
      <w:r>
        <w:rPr>
          <w:rFonts w:ascii="Times New Roman" w:hAnsi="Times New Roman" w:cs="Times New Roman" w:eastAsia="Times New Roman"/>
          <w:b/>
          <w:i w:val="0"/>
          <w:color w:val="1E1E1E"/>
          <w:sz w:val="24"/>
        </w:rPr>
        <w:t>89% (8/9)</w:t>
      </w:r>
      <w:r>
        <w:rPr>
          <w:rFonts w:ascii="Times New Roman" w:hAnsi="Times New Roman" w:cs="Times New Roman" w:eastAsia="Times New Roman"/>
          <w:b w:val="0"/>
          <w:i w:val="0"/>
          <w:color w:val="1E1E1E"/>
          <w:sz w:val="24"/>
        </w:rPr>
        <w:t xml:space="preserve"> ở nhóm dùng Aztreonam–avibactam, vượt trội so với mức 50% (1/2) của nhóm đối chứng sử dụng phác đồ nền polymyxin hoặc aminoglycoside [10].</w:t>
      </w:r>
    </w:p>
    <w:p>
      <w:pPr>
        <w:pStyle w:val="ListBullet"/>
        <w:spacing w:before="40" w:after="60" w:line="276" w:lineRule="auto"/>
        <w:jc w:val="both"/>
      </w:pPr>
      <w:r>
        <w:rPr>
          <w:rFonts w:ascii="Times New Roman" w:hAnsi="Times New Roman" w:cs="Times New Roman" w:eastAsia="Times New Roman"/>
          <w:b/>
          <w:i w:val="0"/>
          <w:color w:val="1E1E1E"/>
          <w:sz w:val="24"/>
        </w:rPr>
        <w:t>Ưu thế dược động học:</w:t>
      </w:r>
      <w:r>
        <w:rPr>
          <w:rFonts w:ascii="Times New Roman" w:hAnsi="Times New Roman" w:cs="Times New Roman" w:eastAsia="Times New Roman"/>
          <w:b w:val="0"/>
          <w:i w:val="0"/>
          <w:color w:val="1E1E1E"/>
          <w:sz w:val="24"/>
        </w:rPr>
        <w:t xml:space="preserve"> Dạng thuốc phối hợp cố định 3:1 đảm bảo sự phơi nhiễm đồng bộ về mặt PK/PD (</w:t>
      </w:r>
      <w:r>
        <w:rPr>
          <w:rFonts w:ascii="Times New Roman" w:hAnsi="Times New Roman" w:cs="Times New Roman" w:eastAsia="Times New Roman"/>
          <w:b w:val="0"/>
          <w:i/>
          <w:color w:val="1E1E1E"/>
          <w:sz w:val="24"/>
        </w:rPr>
        <w:t>f</w:t>
      </w:r>
      <w:r>
        <w:rPr>
          <w:rFonts w:ascii="Times New Roman" w:hAnsi="Times New Roman" w:cs="Times New Roman" w:eastAsia="Times New Roman"/>
          <w:b w:val="0"/>
          <w:i w:val="0"/>
          <w:color w:val="1E1E1E"/>
          <w:sz w:val="24"/>
        </w:rPr>
        <w:t xml:space="preserve">T &gt; MIC của aztreonam ≥ 60% và </w:t>
      </w:r>
      <w:r>
        <w:rPr>
          <w:rFonts w:ascii="Times New Roman" w:hAnsi="Times New Roman" w:cs="Times New Roman" w:eastAsia="Times New Roman"/>
          <w:b w:val="0"/>
          <w:i/>
          <w:color w:val="1E1E1E"/>
          <w:sz w:val="24"/>
        </w:rPr>
        <w:t>f</w:t>
      </w:r>
      <w:r>
        <w:rPr>
          <w:rFonts w:ascii="Times New Roman" w:hAnsi="Times New Roman" w:cs="Times New Roman" w:eastAsia="Times New Roman"/>
          <w:b w:val="0"/>
          <w:i w:val="0"/>
          <w:color w:val="1E1E1E"/>
          <w:sz w:val="24"/>
        </w:rPr>
        <w:t>T &gt; 2,5 µg/mL của avibactam ≥ 50%), giảm thiểu thao tác pha chế của điều dưỡng và có tỷ lệ tăng men gan thấp hơn đáng kể so với việc phối hợp hai lọ rời [1, 6].</w:t>
      </w:r>
    </w:p>
    <w:p>
      <w:pPr>
        <w:keepNext/>
        <w:spacing w:before="180" w:after="40"/>
      </w:pPr>
      <w:r>
        <w:rPr>
          <w:rFonts w:ascii="Times New Roman" w:hAnsi="Times New Roman" w:cs="Times New Roman" w:eastAsia="Times New Roman"/>
          <w:b/>
          <w:i w:val="0"/>
          <w:color w:val="282828"/>
          <w:sz w:val="24"/>
        </w:rPr>
        <w:t>B. Cefiderocol</w:t>
      </w:r>
    </w:p>
    <w:p>
      <w:pPr>
        <w:pStyle w:val="ListBullet"/>
        <w:spacing w:before="40" w:after="60" w:line="276" w:lineRule="auto"/>
        <w:jc w:val="both"/>
      </w:pPr>
      <w:r>
        <w:rPr>
          <w:rFonts w:ascii="Times New Roman" w:hAnsi="Times New Roman" w:cs="Times New Roman" w:eastAsia="Times New Roman"/>
          <w:b/>
          <w:i w:val="0"/>
          <w:color w:val="1E1E1E"/>
          <w:sz w:val="24"/>
        </w:rPr>
        <w:t>Dữ liệu vi sinh:</w:t>
      </w:r>
      <w:r>
        <w:rPr>
          <w:rFonts w:ascii="Times New Roman" w:hAnsi="Times New Roman" w:cs="Times New Roman" w:eastAsia="Times New Roman"/>
          <w:b w:val="0"/>
          <w:i w:val="0"/>
          <w:color w:val="1E1E1E"/>
          <w:sz w:val="24"/>
        </w:rPr>
        <w:t xml:space="preserve"> Có hoạt tính in vitro trên khoảng 85% các chủng NDM-E tại Hoa Kỳ [1, 4].</w:t>
      </w:r>
    </w:p>
    <w:p>
      <w:pPr>
        <w:pStyle w:val="ListBullet"/>
        <w:spacing w:before="40" w:after="60" w:line="276" w:lineRule="auto"/>
        <w:jc w:val="both"/>
      </w:pPr>
      <w:r>
        <w:rPr>
          <w:rFonts w:ascii="Times New Roman" w:hAnsi="Times New Roman" w:cs="Times New Roman" w:eastAsia="Times New Roman"/>
          <w:b/>
          <w:i w:val="0"/>
          <w:color w:val="1E1E1E"/>
          <w:sz w:val="24"/>
        </w:rPr>
        <w:t>Bằng chứng lâm sàng:</w:t>
      </w:r>
    </w:p>
    <w:p>
      <w:pPr>
        <w:pStyle w:val="ListBullet"/>
        <w:spacing w:before="40" w:after="60" w:line="276" w:lineRule="auto"/>
        <w:jc w:val="both"/>
      </w:pPr>
      <w:r>
        <w:rPr>
          <w:rFonts w:ascii="Times New Roman" w:hAnsi="Times New Roman" w:cs="Times New Roman" w:eastAsia="Times New Roman"/>
          <w:b w:val="0"/>
          <w:i w:val="0"/>
          <w:color w:val="1E1E1E"/>
          <w:sz w:val="24"/>
        </w:rPr>
        <w:t xml:space="preserve">Phân tích gộp từ thử nghiệm </w:t>
      </w:r>
      <w:r>
        <w:rPr>
          <w:rFonts w:ascii="Times New Roman" w:hAnsi="Times New Roman" w:cs="Times New Roman" w:eastAsia="Times New Roman"/>
          <w:b/>
          <w:i w:val="0"/>
          <w:color w:val="1E1E1E"/>
          <w:sz w:val="24"/>
        </w:rPr>
        <w:t>CREDIBLE-CR</w:t>
      </w:r>
      <w:r>
        <w:rPr>
          <w:rFonts w:ascii="Times New Roman" w:hAnsi="Times New Roman" w:cs="Times New Roman" w:eastAsia="Times New Roman"/>
          <w:b w:val="0"/>
          <w:i w:val="0"/>
          <w:color w:val="1E1E1E"/>
          <w:sz w:val="24"/>
        </w:rPr>
        <w:t xml:space="preserve"> và </w:t>
      </w:r>
      <w:r>
        <w:rPr>
          <w:rFonts w:ascii="Times New Roman" w:hAnsi="Times New Roman" w:cs="Times New Roman" w:eastAsia="Times New Roman"/>
          <w:b/>
          <w:i w:val="0"/>
          <w:color w:val="1E1E1E"/>
          <w:sz w:val="24"/>
        </w:rPr>
        <w:t>APEKS-NP</w:t>
      </w:r>
      <w:r>
        <w:rPr>
          <w:rFonts w:ascii="Times New Roman" w:hAnsi="Times New Roman" w:cs="Times New Roman" w:eastAsia="Times New Roman"/>
          <w:b w:val="0"/>
          <w:i w:val="0"/>
          <w:color w:val="1E1E1E"/>
          <w:sz w:val="24"/>
        </w:rPr>
        <w:t xml:space="preserve">: Ở phân nhóm nhiễm trùng do chủng sinh MBL, Cefiderocol đạt tỷ lệ khỏi lâm sàng 60% (6/10) so với 20% (1/5) của phác đồ đối chứng, và tỷ lệ sống sót sau 28 ngày đạt </w:t>
      </w:r>
      <w:r>
        <w:rPr>
          <w:rFonts w:ascii="Times New Roman" w:hAnsi="Times New Roman" w:cs="Times New Roman" w:eastAsia="Times New Roman"/>
          <w:b/>
          <w:i w:val="0"/>
          <w:color w:val="1E1E1E"/>
          <w:sz w:val="24"/>
        </w:rPr>
        <w:t>90% (9/10)</w:t>
      </w:r>
      <w:r>
        <w:rPr>
          <w:rFonts w:ascii="Times New Roman" w:hAnsi="Times New Roman" w:cs="Times New Roman" w:eastAsia="Times New Roman"/>
          <w:b w:val="0"/>
          <w:i w:val="0"/>
          <w:color w:val="1E1E1E"/>
          <w:sz w:val="24"/>
        </w:rPr>
        <w:t xml:space="preserve"> so với 40% (2/5) [11].</w:t>
      </w:r>
    </w:p>
    <w:p>
      <w:pPr>
        <w:pStyle w:val="ListBullet"/>
        <w:spacing w:before="40" w:after="60" w:line="276" w:lineRule="auto"/>
        <w:jc w:val="both"/>
      </w:pPr>
      <w:r>
        <w:rPr>
          <w:rFonts w:ascii="Times New Roman" w:hAnsi="Times New Roman" w:cs="Times New Roman" w:eastAsia="Times New Roman"/>
          <w:b w:val="0"/>
          <w:i w:val="0"/>
          <w:color w:val="1E1E1E"/>
          <w:sz w:val="24"/>
        </w:rPr>
        <w:t xml:space="preserve">Tuy nhiên, thử nghiệm </w:t>
      </w:r>
      <w:r>
        <w:rPr>
          <w:rFonts w:ascii="Times New Roman" w:hAnsi="Times New Roman" w:cs="Times New Roman" w:eastAsia="Times New Roman"/>
          <w:b/>
          <w:i w:val="0"/>
          <w:color w:val="1E1E1E"/>
          <w:sz w:val="24"/>
        </w:rPr>
        <w:t>GAME CHANGER</w:t>
      </w:r>
      <w:r>
        <w:rPr>
          <w:rFonts w:ascii="Times New Roman" w:hAnsi="Times New Roman" w:cs="Times New Roman" w:eastAsia="Times New Roman"/>
          <w:b w:val="0"/>
          <w:i w:val="0"/>
          <w:color w:val="1E1E1E"/>
          <w:sz w:val="24"/>
        </w:rPr>
        <w:t xml:space="preserve"> (</w:t>
      </w:r>
      <w:r>
        <w:rPr>
          <w:rFonts w:ascii="Times New Roman" w:hAnsi="Times New Roman" w:cs="Times New Roman" w:eastAsia="Times New Roman"/>
          <w:b w:val="0"/>
          <w:i/>
          <w:color w:val="1E1E1E"/>
          <w:sz w:val="24"/>
        </w:rPr>
        <w:t>Lancet Infect Dis</w:t>
      </w:r>
      <w:r>
        <w:rPr>
          <w:rFonts w:ascii="Times New Roman" w:hAnsi="Times New Roman" w:cs="Times New Roman" w:eastAsia="Times New Roman"/>
          <w:b w:val="0"/>
          <w:i w:val="0"/>
          <w:color w:val="1E1E1E"/>
          <w:sz w:val="24"/>
        </w:rPr>
        <w:t xml:space="preserve"> 2026) trên bệnh nhân nhiễm trùng huyết do vi khuẩn Gram âm kháng thuốc ghi nhận tỷ lệ sống sót sau 30 ngày ở phân nhóm vi khuẩn sinh NDM dùng Cefiderocol là 50% (8/16) so với 82% (9/11) ở nhóm đối chứng [12].</w:t>
      </w:r>
    </w:p>
    <w:p>
      <w:pPr>
        <w:pStyle w:val="ListBullet"/>
        <w:spacing w:before="40" w:after="60" w:line="276" w:lineRule="auto"/>
        <w:jc w:val="both"/>
      </w:pPr>
      <w:r>
        <w:rPr>
          <w:rFonts w:ascii="Times New Roman" w:hAnsi="Times New Roman" w:cs="Times New Roman" w:eastAsia="Times New Roman"/>
          <w:b/>
          <w:i w:val="0"/>
          <w:color w:val="1E1E1E"/>
          <w:sz w:val="24"/>
        </w:rPr>
        <w:t>Kết luận chuyên gia:</w:t>
      </w:r>
      <w:r>
        <w:rPr>
          <w:rFonts w:ascii="Times New Roman" w:hAnsi="Times New Roman" w:cs="Times New Roman" w:eastAsia="Times New Roman"/>
          <w:b w:val="0"/>
          <w:i w:val="0"/>
          <w:color w:val="1E1E1E"/>
          <w:sz w:val="24"/>
        </w:rPr>
        <w:t xml:space="preserve"> Do các dữ liệu lâm sàng hiện có dựa trên cỡ mẫu phân nhóm còn khiêm tốn và chưa có thử nghiệm đối đầu trực tiếp, cả Aztreonam–avibactam và Cefiderocol đều được xem là phác đồ ưu tiên hợp lý.</w:t>
      </w:r>
    </w:p>
    <w:p>
      <w:pPr>
        <w:spacing w:before="160" w:after="160"/>
        <w:pBdr>
          <w:bottom w:val="single" w:sz="8" w:space="1" w:color="003366"/>
        </w:pBdr>
      </w:pPr>
    </w:p>
    <w:p>
      <w:pPr>
        <w:keepNext/>
        <w:spacing w:before="220" w:after="60"/>
      </w:pPr>
      <w:r>
        <w:rPr>
          <w:rFonts w:ascii="Times New Roman" w:hAnsi="Times New Roman" w:cs="Times New Roman" w:eastAsia="Times New Roman"/>
          <w:b/>
          <w:i w:val="0"/>
          <w:color w:val="144B82"/>
          <w:sz w:val="25"/>
        </w:rPr>
        <w:t>2.2. Phác đồ Thay thế (Alternative Options)</w:t>
      </w:r>
    </w:p>
    <w:p>
      <w:pPr>
        <w:keepNext/>
        <w:spacing w:before="180" w:after="40"/>
      </w:pPr>
      <w:r>
        <w:rPr>
          <w:rFonts w:ascii="Times New Roman" w:hAnsi="Times New Roman" w:cs="Times New Roman" w:eastAsia="Times New Roman"/>
          <w:b/>
          <w:i w:val="0"/>
          <w:color w:val="282828"/>
          <w:sz w:val="24"/>
        </w:rPr>
        <w:t>A. Phối hợp Ceftazidime–avibactam (CZA) CỘNG Aztreonam</w:t>
      </w:r>
    </w:p>
    <w:p>
      <w:pPr>
        <w:pStyle w:val="ListBullet"/>
        <w:spacing w:before="40" w:after="60" w:line="276" w:lineRule="auto"/>
        <w:jc w:val="both"/>
      </w:pPr>
      <w:r>
        <w:rPr>
          <w:rFonts w:ascii="Times New Roman" w:hAnsi="Times New Roman" w:cs="Times New Roman" w:eastAsia="Times New Roman"/>
          <w:b/>
          <w:i w:val="0"/>
          <w:color w:val="1E1E1E"/>
          <w:sz w:val="24"/>
        </w:rPr>
        <w:t>Vị trí chỉ định:</w:t>
      </w:r>
      <w:r>
        <w:rPr>
          <w:rFonts w:ascii="Times New Roman" w:hAnsi="Times New Roman" w:cs="Times New Roman" w:eastAsia="Times New Roman"/>
          <w:b w:val="0"/>
          <w:i w:val="0"/>
          <w:color w:val="1E1E1E"/>
          <w:sz w:val="24"/>
        </w:rPr>
        <w:t xml:space="preserve"> Là giải pháp thay thế hàng đầu khi cơ sở y tế chưa có sẵn dạng bào chế cố định Aztreonam–avibactam [1].</w:t>
      </w:r>
    </w:p>
    <w:p>
      <w:pPr>
        <w:pStyle w:val="ListBullet"/>
        <w:spacing w:before="40" w:after="60" w:line="276" w:lineRule="auto"/>
        <w:jc w:val="both"/>
      </w:pPr>
      <w:r>
        <w:rPr>
          <w:rFonts w:ascii="Times New Roman" w:hAnsi="Times New Roman" w:cs="Times New Roman" w:eastAsia="Times New Roman"/>
          <w:b/>
          <w:i w:val="0"/>
          <w:color w:val="1E1E1E"/>
          <w:sz w:val="24"/>
        </w:rPr>
        <w:t>Cơ sở khoa học:</w:t>
      </w:r>
      <w:r>
        <w:rPr>
          <w:rFonts w:ascii="Times New Roman" w:hAnsi="Times New Roman" w:cs="Times New Roman" w:eastAsia="Times New Roman"/>
          <w:b w:val="0"/>
          <w:i w:val="0"/>
          <w:color w:val="1E1E1E"/>
          <w:sz w:val="24"/>
        </w:rPr>
        <w:t xml:space="preserve"> Nhiều nghiên cứu mô hình động học sợi rỗng (Hollow-fiber) và dữ liệu lâm sàng chứng minh hiệu quả diệt khuẩn mạnh mẽ. Ngoài ra, việc ceftazidime gắn bổ trợ vào PBP1a, PBP1b và PBP2 có thể tạo hiệu ứng hiệp đồng gia tăng diệt khuẩn cùng aztreonam gắn PBP3 [1, 13].</w:t>
      </w:r>
    </w:p>
    <w:p>
      <w:pPr>
        <w:pStyle w:val="ListBullet"/>
        <w:spacing w:before="40" w:after="60" w:line="276" w:lineRule="auto"/>
        <w:jc w:val="both"/>
      </w:pPr>
      <w:r>
        <w:rPr>
          <w:rFonts w:ascii="Times New Roman" w:hAnsi="Times New Roman" w:cs="Times New Roman" w:eastAsia="Times New Roman"/>
          <w:b/>
          <w:i w:val="0"/>
          <w:color w:val="1E1E1E"/>
          <w:sz w:val="24"/>
        </w:rPr>
        <w:t>Bằng chứng lâm sàng:</w:t>
      </w:r>
      <w:r>
        <w:rPr>
          <w:rFonts w:ascii="Times New Roman" w:hAnsi="Times New Roman" w:cs="Times New Roman" w:eastAsia="Times New Roman"/>
          <w:b w:val="0"/>
          <w:i w:val="0"/>
          <w:color w:val="1E1E1E"/>
          <w:sz w:val="24"/>
        </w:rPr>
        <w:t xml:space="preserve"> Trong nghiên cứu đoàn hệ tiền cứu lớn trên 102 bệnh nhân nhiễm trùng huyết do Enterobacterales sinh MBL (82 ca do NDM), tỷ lệ sống sót sau 30 ngày ở nhóm dùng CZA + Aztreonam đạt </w:t>
      </w:r>
      <w:r>
        <w:rPr>
          <w:rFonts w:ascii="Times New Roman" w:hAnsi="Times New Roman" w:cs="Times New Roman" w:eastAsia="Times New Roman"/>
          <w:b/>
          <w:i w:val="0"/>
          <w:color w:val="1E1E1E"/>
          <w:sz w:val="24"/>
        </w:rPr>
        <w:t>81% (42/52)</w:t>
      </w:r>
      <w:r>
        <w:rPr>
          <w:rFonts w:ascii="Times New Roman" w:hAnsi="Times New Roman" w:cs="Times New Roman" w:eastAsia="Times New Roman"/>
          <w:b w:val="0"/>
          <w:i w:val="0"/>
          <w:color w:val="1E1E1E"/>
          <w:sz w:val="24"/>
        </w:rPr>
        <w:t xml:space="preserve">, cao hơn có ý nghĩa thống kê so với mức </w:t>
      </w:r>
      <w:r>
        <w:rPr>
          <w:rFonts w:ascii="Times New Roman" w:hAnsi="Times New Roman" w:cs="Times New Roman" w:eastAsia="Times New Roman"/>
          <w:b/>
          <w:i w:val="0"/>
          <w:color w:val="1E1E1E"/>
          <w:sz w:val="24"/>
        </w:rPr>
        <w:t>56% (28/50)</w:t>
      </w:r>
      <w:r>
        <w:rPr>
          <w:rFonts w:ascii="Times New Roman" w:hAnsi="Times New Roman" w:cs="Times New Roman" w:eastAsia="Times New Roman"/>
          <w:b w:val="0"/>
          <w:i w:val="0"/>
          <w:color w:val="1E1E1E"/>
          <w:sz w:val="24"/>
        </w:rPr>
        <w:t xml:space="preserve"> ở nhóm dùng phác đồ dựa trên polymyxin hoặc tigecycline [5]. Một đoàn hệ khác trên 328 chủng NDM-E ghi nhận tỷ lệ sống sót sau 30 ngày của CZA + Aztreonam đạt </w:t>
      </w:r>
      <w:r>
        <w:rPr>
          <w:rFonts w:ascii="Times New Roman" w:hAnsi="Times New Roman" w:cs="Times New Roman" w:eastAsia="Times New Roman"/>
          <w:b/>
          <w:i w:val="0"/>
          <w:color w:val="1E1E1E"/>
          <w:sz w:val="24"/>
        </w:rPr>
        <w:t>78% (167/215)</w:t>
      </w:r>
      <w:r>
        <w:rPr>
          <w:rFonts w:ascii="Times New Roman" w:hAnsi="Times New Roman" w:cs="Times New Roman" w:eastAsia="Times New Roman"/>
          <w:b w:val="0"/>
          <w:i w:val="0"/>
          <w:color w:val="1E1E1E"/>
          <w:sz w:val="24"/>
        </w:rPr>
        <w:t xml:space="preserve"> [14].</w:t>
      </w:r>
    </w:p>
    <w:p>
      <w:pPr>
        <w:keepNext/>
        <w:spacing w:before="180" w:after="40"/>
      </w:pPr>
      <w:r>
        <w:rPr>
          <w:rFonts w:ascii="Times New Roman" w:hAnsi="Times New Roman" w:cs="Times New Roman" w:eastAsia="Times New Roman"/>
          <w:b/>
          <w:i w:val="0"/>
          <w:color w:val="282828"/>
          <w:sz w:val="24"/>
        </w:rPr>
        <w:t>B. Dẫn xuất Tetracycline (Eravacycline, Tigecycline)</w:t>
      </w:r>
    </w:p>
    <w:p>
      <w:pPr>
        <w:pStyle w:val="ListBullet"/>
        <w:spacing w:before="40" w:after="60" w:line="276" w:lineRule="auto"/>
        <w:jc w:val="both"/>
      </w:pPr>
      <w:r>
        <w:rPr>
          <w:rFonts w:ascii="Times New Roman" w:hAnsi="Times New Roman" w:cs="Times New Roman" w:eastAsia="Times New Roman"/>
          <w:b w:val="0"/>
          <w:i w:val="0"/>
          <w:color w:val="1E1E1E"/>
          <w:sz w:val="24"/>
        </w:rPr>
        <w:t>Chỉ được xem là lựa chọn thay thế cho các ổ nhiễm trùng trong ổ bụng hoặc mô mềm khi bệnh nhân không dung nạp hoặc vi khuẩn kháng các thuốc nhóm β-lactam [1].</w:t>
      </w:r>
    </w:p>
    <w:p>
      <w:pPr>
        <w:pStyle w:val="ListBullet"/>
        <w:spacing w:before="40" w:after="60" w:line="276" w:lineRule="auto"/>
        <w:jc w:val="both"/>
      </w:pPr>
      <w:r>
        <w:rPr>
          <w:rFonts w:ascii="Times New Roman" w:hAnsi="Times New Roman" w:cs="Times New Roman" w:eastAsia="Times New Roman"/>
          <w:b/>
          <w:i w:val="0"/>
          <w:color w:val="1E1E1E"/>
          <w:sz w:val="24"/>
        </w:rPr>
        <w:t>CẢNH BÁO QUAN TRỌNG:</w:t>
      </w:r>
      <w:r>
        <w:rPr>
          <w:rFonts w:ascii="Times New Roman" w:hAnsi="Times New Roman" w:cs="Times New Roman" w:eastAsia="Times New Roman"/>
          <w:b w:val="0"/>
          <w:i w:val="0"/>
          <w:color w:val="1E1E1E"/>
          <w:sz w:val="24"/>
        </w:rPr>
        <w:t xml:space="preserve"> </w:t>
      </w:r>
      <w:r>
        <w:rPr>
          <w:rFonts w:ascii="Times New Roman" w:hAnsi="Times New Roman" w:cs="Times New Roman" w:eastAsia="Times New Roman"/>
          <w:b/>
          <w:i w:val="0"/>
          <w:color w:val="1E1E1E"/>
          <w:sz w:val="24"/>
        </w:rPr>
        <w:t>Tuyệt đối không sử dụng Eravacycline hay Tigecycline cho nhiễm trùng huyết hoặc nhiễm trùng đường tiết niệu</w:t>
      </w:r>
      <w:r>
        <w:rPr>
          <w:rFonts w:ascii="Times New Roman" w:hAnsi="Times New Roman" w:cs="Times New Roman" w:eastAsia="Times New Roman"/>
          <w:b w:val="0"/>
          <w:i w:val="0"/>
          <w:color w:val="1E1E1E"/>
          <w:sz w:val="24"/>
        </w:rPr>
        <w:t xml:space="preserve"> do thuốc phân bố mô rất nhanh, nồng độ tự do trong huyết thanh và nước tiểu quá thấp, dẫn đến nguy cơ thất bại điều trị và tử vong cao [1, 15].</w:t>
      </w:r>
    </w:p>
    <w:p>
      <w:pPr>
        <w:spacing w:before="160" w:after="160"/>
        <w:pBdr>
          <w:bottom w:val="single" w:sz="8" w:space="1" w:color="003366"/>
        </w:pBdr>
      </w:pPr>
    </w:p>
    <w:p>
      <w:pPr>
        <w:keepNext/>
        <w:spacing w:before="280" w:after="80"/>
      </w:pPr>
      <w:r>
        <w:rPr>
          <w:rFonts w:ascii="Times New Roman" w:hAnsi="Times New Roman" w:cs="Times New Roman" w:eastAsia="Times New Roman"/>
          <w:b/>
          <w:i w:val="0"/>
          <w:color w:val="003C78"/>
          <w:sz w:val="27"/>
        </w:rPr>
        <w:t xml:space="preserve">3. KHÁC BIỆT CỐT TỬ: </w:t>
      </w:r>
      <w:r>
        <w:rPr>
          <w:rFonts w:ascii="Times New Roman" w:hAnsi="Times New Roman" w:cs="Times New Roman" w:eastAsia="Times New Roman"/>
          <w:b/>
          <w:i/>
          <w:color w:val="003C78"/>
          <w:sz w:val="27"/>
        </w:rPr>
        <w:t>PSEUDOMONAS AERUGINOSA</w:t>
      </w:r>
      <w:r>
        <w:rPr>
          <w:rFonts w:ascii="Times New Roman" w:hAnsi="Times New Roman" w:cs="Times New Roman" w:eastAsia="Times New Roman"/>
          <w:b/>
          <w:i w:val="0"/>
          <w:color w:val="003C78"/>
          <w:sz w:val="27"/>
        </w:rPr>
        <w:t xml:space="preserve"> SINH MBL</w:t>
      </w:r>
    </w:p>
    <w:p>
      <w:pPr>
        <w:spacing w:before="40" w:after="100" w:line="276" w:lineRule="auto"/>
        <w:jc w:val="both"/>
      </w:pPr>
      <w:r>
        <w:rPr>
          <w:rFonts w:ascii="Times New Roman" w:hAnsi="Times New Roman" w:cs="Times New Roman" w:eastAsia="Times New Roman"/>
          <w:b w:val="0"/>
          <w:i/>
          <w:color w:val="1E1E1E"/>
          <w:sz w:val="24"/>
        </w:rPr>
        <w:t>Pseudomonas aeruginosa</w:t>
      </w:r>
      <w:r>
        <w:rPr>
          <w:rFonts w:ascii="Times New Roman" w:hAnsi="Times New Roman" w:cs="Times New Roman" w:eastAsia="Times New Roman"/>
          <w:b w:val="0"/>
          <w:i w:val="0"/>
          <w:color w:val="1E1E1E"/>
          <w:sz w:val="24"/>
        </w:rPr>
        <w:t xml:space="preserve"> mang men MBL (phổ biến nhất là men VIM tại Mỹ và Châu Âu, ngoài ra còn có IMP và NDM) là một trong những thách thức nan giải nhất vì cơ chế kháng thuốc của trực khuẩn mủ xanh phức tạp hơn nhiều so với Enterobacterales [1, 7].</w:t>
      </w:r>
    </w:p>
    <w:p>
      <w:pPr>
        <w:keepNext/>
        <w:spacing w:before="220" w:after="60"/>
      </w:pPr>
      <w:r>
        <w:rPr>
          <w:rFonts w:ascii="Times New Roman" w:hAnsi="Times New Roman" w:cs="Times New Roman" w:eastAsia="Times New Roman"/>
          <w:b/>
          <w:i w:val="0"/>
          <w:color w:val="144B82"/>
          <w:sz w:val="25"/>
        </w:rPr>
        <w:t>Điểm khác biệt sống còn giữa NDM-E và MBL-</w:t>
      </w:r>
      <w:r>
        <w:rPr>
          <w:rFonts w:ascii="Times New Roman" w:hAnsi="Times New Roman" w:cs="Times New Roman" w:eastAsia="Times New Roman"/>
          <w:b/>
          <w:i/>
          <w:color w:val="144B82"/>
          <w:sz w:val="25"/>
        </w:rPr>
        <w:t>P. aeruginosa</w:t>
      </w:r>
      <w:r>
        <w:rPr>
          <w:rFonts w:ascii="Times New Roman" w:hAnsi="Times New Roman" w:cs="Times New Roman" w:eastAsia="Times New Roman"/>
          <w:b/>
          <w:i w:val="0"/>
          <w:color w:val="144B82"/>
          <w:sz w:val="25"/>
        </w:rPr>
        <w:t>:</w:t>
      </w:r>
    </w:p>
    <w:p>
      <w:pPr>
        <w:pStyle w:val="ListNumber"/>
        <w:spacing w:before="40" w:after="60" w:line="276" w:lineRule="auto"/>
        <w:jc w:val="both"/>
      </w:pPr>
      <w:r>
        <w:rPr>
          <w:rFonts w:ascii="Times New Roman" w:hAnsi="Times New Roman" w:cs="Times New Roman" w:eastAsia="Times New Roman"/>
          <w:b/>
          <w:i w:val="0"/>
          <w:color w:val="1E1E1E"/>
          <w:sz w:val="24"/>
        </w:rPr>
        <w:t>Aztreonam–avibactam KHÔNG CÓ HIỆU QUẢ ở *P. aeruginosa*:</w:t>
      </w:r>
    </w:p>
    <w:p>
      <w:pPr>
        <w:pStyle w:val="ListBullet"/>
        <w:spacing w:before="40" w:after="60" w:line="276" w:lineRule="auto"/>
        <w:jc w:val="both"/>
      </w:pPr>
      <w:r>
        <w:rPr>
          <w:rFonts w:ascii="Times New Roman" w:hAnsi="Times New Roman" w:cs="Times New Roman" w:eastAsia="Times New Roman"/>
          <w:b w:val="0"/>
          <w:i w:val="0"/>
          <w:color w:val="1E1E1E"/>
          <w:sz w:val="24"/>
        </w:rPr>
        <w:t xml:space="preserve">Mặc dù avibactam có thể bảo vệ aztreonam khỏi men PDC (AmpC của </w:t>
      </w:r>
      <w:r>
        <w:rPr>
          <w:rFonts w:ascii="Times New Roman" w:hAnsi="Times New Roman" w:cs="Times New Roman" w:eastAsia="Times New Roman"/>
          <w:b w:val="0"/>
          <w:i/>
          <w:color w:val="1E1E1E"/>
          <w:sz w:val="24"/>
        </w:rPr>
        <w:t>Pseudomonas</w:t>
      </w:r>
      <w:r>
        <w:rPr>
          <w:rFonts w:ascii="Times New Roman" w:hAnsi="Times New Roman" w:cs="Times New Roman" w:eastAsia="Times New Roman"/>
          <w:b w:val="0"/>
          <w:i w:val="0"/>
          <w:color w:val="1E1E1E"/>
          <w:sz w:val="24"/>
        </w:rPr>
        <w:t xml:space="preserve">), trực khuẩn mủ xanh sở hữu hệ thống </w:t>
      </w:r>
      <w:r>
        <w:rPr>
          <w:rFonts w:ascii="Times New Roman" w:hAnsi="Times New Roman" w:cs="Times New Roman" w:eastAsia="Times New Roman"/>
          <w:b/>
          <w:i w:val="0"/>
          <w:color w:val="1E1E1E"/>
          <w:sz w:val="24"/>
        </w:rPr>
        <w:t>bơm tống thuốc chủ động MexAB-OprM</w:t>
      </w:r>
      <w:r>
        <w:rPr>
          <w:rFonts w:ascii="Times New Roman" w:hAnsi="Times New Roman" w:cs="Times New Roman" w:eastAsia="Times New Roman"/>
          <w:b w:val="0"/>
          <w:i w:val="0"/>
          <w:color w:val="1E1E1E"/>
          <w:sz w:val="24"/>
        </w:rPr>
        <w:t xml:space="preserve"> rất mạnh. Bơm này liên tục đẩy aztreonam ra khỏi khoang chu chất (periplasm), ngăn không cho thuốc đạt nồng độ đủ để gắn vào PBP3 [1, 7].</w:t>
      </w:r>
    </w:p>
    <w:p>
      <w:pPr>
        <w:pStyle w:val="ListBullet"/>
        <w:spacing w:before="40" w:after="60" w:line="276" w:lineRule="auto"/>
        <w:jc w:val="both"/>
      </w:pPr>
      <w:r>
        <w:rPr>
          <w:rFonts w:ascii="Times New Roman" w:hAnsi="Times New Roman" w:cs="Times New Roman" w:eastAsia="Times New Roman"/>
          <w:b w:val="0"/>
          <w:i w:val="0"/>
          <w:color w:val="1E1E1E"/>
          <w:sz w:val="24"/>
        </w:rPr>
        <w:t xml:space="preserve">Do đó, cả CLSI lẫn FDA đều </w:t>
      </w:r>
      <w:r>
        <w:rPr>
          <w:rFonts w:ascii="Times New Roman" w:hAnsi="Times New Roman" w:cs="Times New Roman" w:eastAsia="Times New Roman"/>
          <w:b/>
          <w:i w:val="0"/>
          <w:color w:val="1E1E1E"/>
          <w:sz w:val="24"/>
        </w:rPr>
        <w:t>không thiết lập điểm cắt nhạy cảm</w:t>
      </w:r>
      <w:r>
        <w:rPr>
          <w:rFonts w:ascii="Times New Roman" w:hAnsi="Times New Roman" w:cs="Times New Roman" w:eastAsia="Times New Roman"/>
          <w:b w:val="0"/>
          <w:i w:val="0"/>
          <w:color w:val="1E1E1E"/>
          <w:sz w:val="24"/>
        </w:rPr>
        <w:t xml:space="preserve"> cho Aztreonam–avibactam trên </w:t>
      </w:r>
      <w:r>
        <w:rPr>
          <w:rFonts w:ascii="Times New Roman" w:hAnsi="Times New Roman" w:cs="Times New Roman" w:eastAsia="Times New Roman"/>
          <w:b w:val="0"/>
          <w:i/>
          <w:color w:val="1E1E1E"/>
          <w:sz w:val="24"/>
        </w:rPr>
        <w:t>P. aeruginosa</w:t>
      </w:r>
      <w:r>
        <w:rPr>
          <w:rFonts w:ascii="Times New Roman" w:hAnsi="Times New Roman" w:cs="Times New Roman" w:eastAsia="Times New Roman"/>
          <w:b w:val="0"/>
          <w:i w:val="0"/>
          <w:color w:val="1E1E1E"/>
          <w:sz w:val="24"/>
        </w:rPr>
        <w:t xml:space="preserve">, và IDSA 2026 </w:t>
      </w:r>
      <w:r>
        <w:rPr>
          <w:rFonts w:ascii="Times New Roman" w:hAnsi="Times New Roman" w:cs="Times New Roman" w:eastAsia="Times New Roman"/>
          <w:b/>
          <w:i w:val="0"/>
          <w:color w:val="1E1E1E"/>
          <w:sz w:val="24"/>
        </w:rPr>
        <w:t>khuyến cáo không dùng Aztreonam–avibactam cho *P. aeruginosa* sinh MBL</w:t>
      </w:r>
      <w:r>
        <w:rPr>
          <w:rFonts w:ascii="Times New Roman" w:hAnsi="Times New Roman" w:cs="Times New Roman" w:eastAsia="Times New Roman"/>
          <w:b w:val="0"/>
          <w:i w:val="0"/>
          <w:color w:val="1E1E1E"/>
          <w:sz w:val="24"/>
        </w:rPr>
        <w:t xml:space="preserve"> [1].</w:t>
      </w:r>
    </w:p>
    <w:p>
      <w:pPr>
        <w:pStyle w:val="ListNumber"/>
        <w:spacing w:before="40" w:after="60" w:line="276" w:lineRule="auto"/>
        <w:jc w:val="both"/>
      </w:pPr>
      <w:r>
        <w:rPr>
          <w:rFonts w:ascii="Times New Roman" w:hAnsi="Times New Roman" w:cs="Times New Roman" w:eastAsia="Times New Roman"/>
          <w:b/>
          <w:i w:val="0"/>
          <w:color w:val="1E1E1E"/>
          <w:sz w:val="24"/>
        </w:rPr>
        <w:t>Cefiderocol là LỰA CHỌN ƯU TIÊN SỐ 1 DUY NHẤT:</w:t>
      </w:r>
    </w:p>
    <w:p>
      <w:pPr>
        <w:pStyle w:val="ListBullet"/>
        <w:spacing w:before="40" w:after="60" w:line="276" w:lineRule="auto"/>
        <w:jc w:val="both"/>
      </w:pPr>
      <w:r>
        <w:rPr>
          <w:rFonts w:ascii="Times New Roman" w:hAnsi="Times New Roman" w:cs="Times New Roman" w:eastAsia="Times New Roman"/>
          <w:b w:val="0"/>
          <w:i w:val="0"/>
          <w:color w:val="1E1E1E"/>
          <w:sz w:val="24"/>
        </w:rPr>
        <w:t xml:space="preserve">Cefiderocol có ái lực cực mạnh với PBP3 của </w:t>
      </w:r>
      <w:r>
        <w:rPr>
          <w:rFonts w:ascii="Times New Roman" w:hAnsi="Times New Roman" w:cs="Times New Roman" w:eastAsia="Times New Roman"/>
          <w:b w:val="0"/>
          <w:i/>
          <w:color w:val="1E1E1E"/>
          <w:sz w:val="24"/>
        </w:rPr>
        <w:t>P. aeruginosa</w:t>
      </w:r>
      <w:r>
        <w:rPr>
          <w:rFonts w:ascii="Times New Roman" w:hAnsi="Times New Roman" w:cs="Times New Roman" w:eastAsia="Times New Roman"/>
          <w:b w:val="0"/>
          <w:i w:val="0"/>
          <w:color w:val="1E1E1E"/>
          <w:sz w:val="24"/>
        </w:rPr>
        <w:t xml:space="preserve"> và không bị ảnh hưởng bởi men VIM/IMP cũng như bơm MexAB-OprM. Tỷ lệ nhạy cảm in vitro đạt &gt; 90% [1, 4].</w:t>
      </w:r>
    </w:p>
    <w:p>
      <w:pPr>
        <w:pStyle w:val="ListNumber"/>
        <w:spacing w:before="40" w:after="60" w:line="276" w:lineRule="auto"/>
        <w:jc w:val="both"/>
      </w:pPr>
      <w:r>
        <w:rPr>
          <w:rFonts w:ascii="Times New Roman" w:hAnsi="Times New Roman" w:cs="Times New Roman" w:eastAsia="Times New Roman"/>
          <w:b/>
          <w:i w:val="0"/>
          <w:color w:val="1E1E1E"/>
          <w:sz w:val="24"/>
        </w:rPr>
        <w:t>Vai trò của CZA + Aztreonam:</w:t>
      </w:r>
    </w:p>
    <w:p>
      <w:pPr>
        <w:pStyle w:val="ListBullet"/>
        <w:spacing w:before="40" w:after="60" w:line="276" w:lineRule="auto"/>
        <w:jc w:val="both"/>
      </w:pPr>
      <w:r>
        <w:rPr>
          <w:rFonts w:ascii="Times New Roman" w:hAnsi="Times New Roman" w:cs="Times New Roman" w:eastAsia="Times New Roman"/>
          <w:b w:val="0"/>
          <w:i w:val="0"/>
          <w:color w:val="1E1E1E"/>
          <w:sz w:val="24"/>
        </w:rPr>
        <w:t xml:space="preserve">Chỉ được cân nhắc như giải pháp thay thế cứu vãn khi phân lập </w:t>
      </w:r>
      <w:r>
        <w:rPr>
          <w:rFonts w:ascii="Times New Roman" w:hAnsi="Times New Roman" w:cs="Times New Roman" w:eastAsia="Times New Roman"/>
          <w:b w:val="0"/>
          <w:i/>
          <w:color w:val="1E1E1E"/>
          <w:sz w:val="24"/>
        </w:rPr>
        <w:t>P. aeruginosa</w:t>
      </w:r>
      <w:r>
        <w:rPr>
          <w:rFonts w:ascii="Times New Roman" w:hAnsi="Times New Roman" w:cs="Times New Roman" w:eastAsia="Times New Roman"/>
          <w:b w:val="0"/>
          <w:i w:val="0"/>
          <w:color w:val="1E1E1E"/>
          <w:sz w:val="24"/>
        </w:rPr>
        <w:t xml:space="preserve"> sinh MBL đã kháng Cefiderocol [1, 16].</w:t>
      </w:r>
    </w:p>
    <w:p>
      <w:pPr>
        <w:spacing w:before="160" w:after="160"/>
        <w:pBdr>
          <w:bottom w:val="single" w:sz="8" w:space="1" w:color="003366"/>
        </w:pBdr>
      </w:pPr>
    </w:p>
    <w:p>
      <w:pPr>
        <w:keepNext/>
        <w:spacing w:before="280" w:after="80"/>
      </w:pPr>
      <w:r>
        <w:rPr>
          <w:rFonts w:ascii="Times New Roman" w:hAnsi="Times New Roman" w:cs="Times New Roman" w:eastAsia="Times New Roman"/>
          <w:b/>
          <w:i w:val="0"/>
          <w:color w:val="003C78"/>
          <w:sz w:val="27"/>
        </w:rPr>
        <w:t>4. MỐI ĐE DỌA ĐỀ KHÁNG MỚI NỔI: ĐỘT BIẾN PBP3 INSERTS (YRIN/YRIK)</w:t>
      </w:r>
    </w:p>
    <w:p>
      <w:pPr>
        <w:spacing w:before="40" w:after="100" w:line="276" w:lineRule="auto"/>
        <w:jc w:val="both"/>
      </w:pPr>
      <w:r>
        <w:rPr>
          <w:rFonts w:ascii="Times New Roman" w:hAnsi="Times New Roman" w:cs="Times New Roman" w:eastAsia="Times New Roman"/>
          <w:b w:val="0"/>
          <w:i w:val="0"/>
          <w:color w:val="1E1E1E"/>
          <w:sz w:val="24"/>
        </w:rPr>
        <w:t xml:space="preserve">Một phát hiện dịch tễ sinh học phân tử cực kỳ nguy hiểm được IDSA 2026 cảnh báo là sự xuất hiện của các chủng </w:t>
      </w:r>
      <w:r>
        <w:rPr>
          <w:rFonts w:ascii="Times New Roman" w:hAnsi="Times New Roman" w:cs="Times New Roman" w:eastAsia="Times New Roman"/>
          <w:b/>
          <w:i w:val="0"/>
          <w:color w:val="1E1E1E"/>
          <w:sz w:val="24"/>
        </w:rPr>
        <w:t>*Escherichia coli* sinh NDM mang đột biến chèn 4 axit amin ở PBP3</w:t>
      </w:r>
      <w:r>
        <w:rPr>
          <w:rFonts w:ascii="Times New Roman" w:hAnsi="Times New Roman" w:cs="Times New Roman" w:eastAsia="Times New Roman"/>
          <w:b w:val="0"/>
          <w:i w:val="0"/>
          <w:color w:val="1E1E1E"/>
          <w:sz w:val="24"/>
        </w:rPr>
        <w:t xml:space="preserve"> (phổ biến nhất là đoạn chèn mang mô-típ </w:t>
      </w:r>
      <w:r>
        <w:rPr>
          <w:rFonts w:ascii="Times New Roman" w:hAnsi="Times New Roman" w:cs="Times New Roman" w:eastAsia="Times New Roman"/>
          <w:b w:val="0"/>
          <w:i/>
          <w:color w:val="1E1E1E"/>
          <w:sz w:val="24"/>
        </w:rPr>
        <w:t>YRIN</w:t>
      </w:r>
      <w:r>
        <w:rPr>
          <w:rFonts w:ascii="Times New Roman" w:hAnsi="Times New Roman" w:cs="Times New Roman" w:eastAsia="Times New Roman"/>
          <w:b w:val="0"/>
          <w:i w:val="0"/>
          <w:color w:val="1E1E1E"/>
          <w:sz w:val="24"/>
        </w:rPr>
        <w:t xml:space="preserve"> hoặc </w:t>
      </w:r>
      <w:r>
        <w:rPr>
          <w:rFonts w:ascii="Times New Roman" w:hAnsi="Times New Roman" w:cs="Times New Roman" w:eastAsia="Times New Roman"/>
          <w:b w:val="0"/>
          <w:i/>
          <w:color w:val="1E1E1E"/>
          <w:sz w:val="24"/>
        </w:rPr>
        <w:t>YRIK</w:t>
      </w:r>
      <w:r>
        <w:rPr>
          <w:rFonts w:ascii="Times New Roman" w:hAnsi="Times New Roman" w:cs="Times New Roman" w:eastAsia="Times New Roman"/>
          <w:b w:val="0"/>
          <w:i w:val="0"/>
          <w:color w:val="1E1E1E"/>
          <w:sz w:val="24"/>
        </w:rPr>
        <w:t xml:space="preserve"> sau vị trí Tyr347), thường đi kèm với việc biểu hiện enzym AmpC biến thể plasmid (như CMY-42) [1, 8, 17].</w:t>
      </w:r>
    </w:p>
    <w:p>
      <w:pPr>
        <w:pStyle w:val="ListBullet"/>
        <w:spacing w:before="40" w:after="60" w:line="276" w:lineRule="auto"/>
        <w:jc w:val="both"/>
      </w:pPr>
      <w:r>
        <w:rPr>
          <w:rFonts w:ascii="Times New Roman" w:hAnsi="Times New Roman" w:cs="Times New Roman" w:eastAsia="Times New Roman"/>
          <w:b/>
          <w:i w:val="0"/>
          <w:color w:val="1E1E1E"/>
          <w:sz w:val="24"/>
        </w:rPr>
        <w:t>Hậu quả phân tử:</w:t>
      </w:r>
      <w:r>
        <w:rPr>
          <w:rFonts w:ascii="Times New Roman" w:hAnsi="Times New Roman" w:cs="Times New Roman" w:eastAsia="Times New Roman"/>
          <w:b w:val="0"/>
          <w:i w:val="0"/>
          <w:color w:val="1E1E1E"/>
          <w:sz w:val="24"/>
        </w:rPr>
        <w:t xml:space="preserve"> Đột biến chèn này làm biến đổi cấu trúc không gian của túi gắn cơ chất trên PBP3, khiến cho cả Aztreonam, Ceftazidime và Cefiderocol đều bị suy giảm nghiêm trọng ái lực gắn kết [1, 8].</w:t>
      </w:r>
    </w:p>
    <w:p>
      <w:pPr>
        <w:pStyle w:val="ListBullet"/>
        <w:spacing w:before="40" w:after="60" w:line="276" w:lineRule="auto"/>
        <w:jc w:val="both"/>
      </w:pPr>
      <w:r>
        <w:rPr>
          <w:rFonts w:ascii="Times New Roman" w:hAnsi="Times New Roman" w:cs="Times New Roman" w:eastAsia="Times New Roman"/>
          <w:b/>
          <w:i w:val="0"/>
          <w:color w:val="1E1E1E"/>
          <w:sz w:val="24"/>
        </w:rPr>
        <w:t>Thực trạng dịch tễ:</w:t>
      </w:r>
      <w:r>
        <w:rPr>
          <w:rFonts w:ascii="Times New Roman" w:hAnsi="Times New Roman" w:cs="Times New Roman" w:eastAsia="Times New Roman"/>
          <w:b w:val="0"/>
          <w:i w:val="0"/>
          <w:color w:val="1E1E1E"/>
          <w:sz w:val="24"/>
        </w:rPr>
        <w:t xml:space="preserve"> Chủng đột biến này khởi nguồn từ Châu Á và hiện đã lan rộng tại Hoa Kỳ (chiếm tới </w:t>
      </w:r>
      <w:r>
        <w:rPr>
          <w:rFonts w:ascii="Times New Roman" w:hAnsi="Times New Roman" w:cs="Times New Roman" w:eastAsia="Times New Roman"/>
          <w:b/>
          <w:i w:val="0"/>
          <w:color w:val="1E1E1E"/>
          <w:sz w:val="24"/>
        </w:rPr>
        <w:t>~30%</w:t>
      </w:r>
      <w:r>
        <w:rPr>
          <w:rFonts w:ascii="Times New Roman" w:hAnsi="Times New Roman" w:cs="Times New Roman" w:eastAsia="Times New Roman"/>
          <w:b w:val="0"/>
          <w:i w:val="0"/>
          <w:color w:val="1E1E1E"/>
          <w:sz w:val="24"/>
        </w:rPr>
        <w:t xml:space="preserve"> các chủng </w:t>
      </w:r>
      <w:r>
        <w:rPr>
          <w:rFonts w:ascii="Times New Roman" w:hAnsi="Times New Roman" w:cs="Times New Roman" w:eastAsia="Times New Roman"/>
          <w:b w:val="0"/>
          <w:i/>
          <w:color w:val="1E1E1E"/>
          <w:sz w:val="24"/>
        </w:rPr>
        <w:t>E. coli</w:t>
      </w:r>
      <w:r>
        <w:rPr>
          <w:rFonts w:ascii="Times New Roman" w:hAnsi="Times New Roman" w:cs="Times New Roman" w:eastAsia="Times New Roman"/>
          <w:b w:val="0"/>
          <w:i w:val="0"/>
          <w:color w:val="1E1E1E"/>
          <w:sz w:val="24"/>
        </w:rPr>
        <w:t xml:space="preserve"> sinh NDM phân lập tại khu vực Trung Đại Tây Dương) [1, 18].</w:t>
      </w:r>
    </w:p>
    <w:p>
      <w:pPr>
        <w:pStyle w:val="ListBullet"/>
        <w:spacing w:before="40" w:after="60" w:line="276" w:lineRule="auto"/>
        <w:jc w:val="both"/>
      </w:pPr>
      <w:r>
        <w:rPr>
          <w:rFonts w:ascii="Times New Roman" w:hAnsi="Times New Roman" w:cs="Times New Roman" w:eastAsia="Times New Roman"/>
          <w:b/>
          <w:i w:val="0"/>
          <w:color w:val="1E1E1E"/>
          <w:sz w:val="24"/>
        </w:rPr>
        <w:t>Chiến lược cứu cánh (Salvage Regimens):</w:t>
      </w:r>
      <w:r>
        <w:rPr>
          <w:rFonts w:ascii="Times New Roman" w:hAnsi="Times New Roman" w:cs="Times New Roman" w:eastAsia="Times New Roman"/>
          <w:b w:val="0"/>
          <w:i w:val="0"/>
          <w:color w:val="1E1E1E"/>
          <w:sz w:val="24"/>
        </w:rPr>
        <w:t xml:space="preserve"> Khi gặp phải chủng vi khuẩn kháng kép cả Aztreonam–avibactam lẫn Cefiderocol, IDSA 2026 khuyến nghị xây dựng phác đồ phối hợp đa thuốc cá thể hóa dựa trên kháng sinh đồ:</w:t>
      </w:r>
    </w:p>
    <w:p>
      <w:pPr>
        <w:spacing w:before="120" w:after="120"/>
        <w:ind w:left="576" w:right="288"/>
        <w:jc w:val="both"/>
        <w:pBdr>
          <w:left w:val="single" w:sz="24" w:space="12" w:color="003366"/>
        </w:pBdr>
        <w:shd w:fill="F0F4F8"/>
      </w:pPr>
      <w:r>
        <w:rPr>
          <w:rFonts w:ascii="Times New Roman" w:hAnsi="Times New Roman" w:cs="Times New Roman" w:eastAsia="Times New Roman"/>
          <w:b/>
          <w:i w:val="0"/>
          <w:color w:val="14283C"/>
          <w:sz w:val="23"/>
        </w:rPr>
        <w:t>Phác đồ phối hợp cứu vãn đề xuất:</w:t>
      </w:r>
    </w:p>
    <w:p>
      <w:pPr>
        <w:spacing w:before="120" w:after="120"/>
        <w:ind w:left="576" w:right="288"/>
        <w:jc w:val="both"/>
        <w:pBdr>
          <w:left w:val="single" w:sz="24" w:space="12" w:color="003366"/>
        </w:pBdr>
        <w:shd w:fill="F0F4F8"/>
      </w:pPr>
      <w:r>
        <w:rPr>
          <w:rFonts w:ascii="Times New Roman" w:hAnsi="Times New Roman" w:cs="Times New Roman" w:eastAsia="Times New Roman"/>
          <w:b/>
          <w:i w:val="0"/>
          <w:color w:val="14283C"/>
          <w:sz w:val="23"/>
        </w:rPr>
        <w:t>Fosfomycin tiêm truyền tĩnh mạch (6 g mỗi 8 giờ) + Polymyxin B ± Tigecycline liều cao (liều nạp 200 mg, duy trì 100 mg mỗi 12 giờ)</w:t>
      </w:r>
    </w:p>
    <w:p>
      <w:pPr>
        <w:spacing w:before="160" w:after="160"/>
        <w:pBdr>
          <w:bottom w:val="single" w:sz="8" w:space="1" w:color="003366"/>
        </w:pBdr>
      </w:pPr>
    </w:p>
    <w:p>
      <w:pPr>
        <w:keepNext/>
        <w:spacing w:before="280" w:after="80"/>
      </w:pPr>
      <w:r>
        <w:rPr>
          <w:rFonts w:ascii="Times New Roman" w:hAnsi="Times New Roman" w:cs="Times New Roman" w:eastAsia="Times New Roman"/>
          <w:b/>
          <w:i w:val="0"/>
          <w:color w:val="003C78"/>
          <w:sz w:val="27"/>
        </w:rPr>
        <w:t>5. HƯỚNG DẪN CHẾ ĐỘ LIỀU CHUẨN HÓA &amp; THEO DÕI DƯỢC LÂM SÀNG</w:t>
      </w:r>
    </w:p>
    <w:p>
      <w:pPr>
        <w:spacing w:before="40" w:after="120"/>
        <w:jc w:val="center"/>
      </w:pPr>
      <w:r>
        <w:rPr>
          <w:rFonts w:ascii="Times New Roman" w:hAnsi="Times New Roman" w:cs="Times New Roman" w:eastAsia="Times New Roman"/>
          <w:b w:val="0"/>
          <w:i/>
          <w:color w:val="646464"/>
          <w:sz w:val="22"/>
        </w:rPr>
        <w:t>Bảng tổng hợp liều lượng và kỹ thuật truyền thuốc tối ưu hóa PK/PD cho người lớn có chức năng gan thận bình thường [1]:</w:t>
      </w:r>
    </w:p>
    <w:tbl>
      <w:tblPr>
        <w:tblW w:type="auto" w:w="0"/>
        <w:jc w:val="center"/>
        <w:tblLook w:firstColumn="1" w:firstRow="1" w:lastColumn="0" w:lastRow="0" w:noHBand="0" w:noVBand="1" w:val="04A0"/>
        <w:tblBorders>
          <w:top w:val="single" w:sz="4" w:space="0" w:color="B0C4DE"/>
          <w:bottom w:val="single" w:sz="4" w:space="0" w:color="B0C4DE"/>
          <w:left w:val="single" w:sz="4" w:space="0" w:color="B0C4DE"/>
          <w:right w:val="single" w:sz="4" w:space="0" w:color="B0C4DE"/>
          <w:insideH w:val="single" w:sz="4" w:space="0" w:color="B0C4DE"/>
          <w:insideV w:val="single" w:sz="4" w:space="0" w:color="B0C4DE"/>
        </w:tblBorders>
      </w:tblPr>
      <w:tblGrid>
        <w:gridCol w:w="1871"/>
        <w:gridCol w:w="1871"/>
        <w:gridCol w:w="1871"/>
        <w:gridCol w:w="1871"/>
        <w:gridCol w:w="1871"/>
      </w:tblGrid>
      <w:tr>
        <w:tc>
          <w:tcPr>
            <w:tcW w:type="dxa" w:w="1871"/>
            <w:tcMar>
              <w:top w:w="140" w:type="dxa"/>
              <w:bottom w:w="140" w:type="dxa"/>
              <w:left w:w="160" w:type="dxa"/>
              <w:right w:w="160" w:type="dxa"/>
            </w:tcMar>
            <w:vAlign w:val="center"/>
            <w:shd w:fill="003366"/>
          </w:tcPr>
          <w:p>
            <w:pPr>
              <w:spacing w:before="40" w:after="40" w:line="276" w:lineRule="auto"/>
            </w:pPr>
            <w:r>
              <w:rPr>
                <w:rFonts w:ascii="Times New Roman" w:hAnsi="Times New Roman" w:cs="Times New Roman" w:eastAsia="Times New Roman"/>
                <w:b/>
                <w:i w:val="0"/>
                <w:color w:val="FFFFFF"/>
                <w:sz w:val="22"/>
              </w:rPr>
              <w:t>Kháng sinh</w:t>
            </w:r>
          </w:p>
        </w:tc>
        <w:tc>
          <w:tcPr>
            <w:tcW w:type="dxa" w:w="1871"/>
            <w:tcMar>
              <w:top w:w="140" w:type="dxa"/>
              <w:bottom w:w="140" w:type="dxa"/>
              <w:left w:w="160" w:type="dxa"/>
              <w:right w:w="160" w:type="dxa"/>
            </w:tcMar>
            <w:vAlign w:val="center"/>
            <w:shd w:fill="003366"/>
          </w:tcPr>
          <w:p>
            <w:pPr>
              <w:spacing w:before="40" w:after="40" w:line="276" w:lineRule="auto"/>
            </w:pPr>
            <w:r>
              <w:rPr>
                <w:rFonts w:ascii="Times New Roman" w:hAnsi="Times New Roman" w:cs="Times New Roman" w:eastAsia="Times New Roman"/>
                <w:b/>
                <w:i w:val="0"/>
                <w:color w:val="FFFFFF"/>
                <w:sz w:val="22"/>
              </w:rPr>
              <w:t>Liều nạp (Loading dose)</w:t>
            </w:r>
          </w:p>
        </w:tc>
        <w:tc>
          <w:tcPr>
            <w:tcW w:type="dxa" w:w="1871"/>
            <w:tcMar>
              <w:top w:w="140" w:type="dxa"/>
              <w:bottom w:w="140" w:type="dxa"/>
              <w:left w:w="160" w:type="dxa"/>
              <w:right w:w="160" w:type="dxa"/>
            </w:tcMar>
            <w:vAlign w:val="center"/>
            <w:shd w:fill="003366"/>
          </w:tcPr>
          <w:p>
            <w:pPr>
              <w:spacing w:before="40" w:after="40" w:line="276" w:lineRule="auto"/>
            </w:pPr>
            <w:r>
              <w:rPr>
                <w:rFonts w:ascii="Times New Roman" w:hAnsi="Times New Roman" w:cs="Times New Roman" w:eastAsia="Times New Roman"/>
                <w:b/>
                <w:i w:val="0"/>
                <w:color w:val="FFFFFF"/>
                <w:sz w:val="22"/>
              </w:rPr>
              <w:t>Liều duy trì &amp; Khoảng cách đưa thuốc</w:t>
            </w:r>
          </w:p>
        </w:tc>
        <w:tc>
          <w:tcPr>
            <w:tcW w:type="dxa" w:w="1871"/>
            <w:tcMar>
              <w:top w:w="140" w:type="dxa"/>
              <w:bottom w:w="140" w:type="dxa"/>
              <w:left w:w="160" w:type="dxa"/>
              <w:right w:w="160" w:type="dxa"/>
            </w:tcMar>
            <w:vAlign w:val="center"/>
            <w:shd w:fill="003366"/>
          </w:tcPr>
          <w:p>
            <w:pPr>
              <w:spacing w:before="40" w:after="40" w:line="276" w:lineRule="auto"/>
            </w:pPr>
            <w:r>
              <w:rPr>
                <w:rFonts w:ascii="Times New Roman" w:hAnsi="Times New Roman" w:cs="Times New Roman" w:eastAsia="Times New Roman"/>
                <w:b/>
                <w:i w:val="0"/>
                <w:color w:val="FFFFFF"/>
                <w:sz w:val="22"/>
              </w:rPr>
              <w:t>Thời gian truyền</w:t>
            </w:r>
          </w:p>
        </w:tc>
        <w:tc>
          <w:tcPr>
            <w:tcW w:type="dxa" w:w="1871"/>
            <w:tcMar>
              <w:top w:w="140" w:type="dxa"/>
              <w:bottom w:w="140" w:type="dxa"/>
              <w:left w:w="160" w:type="dxa"/>
              <w:right w:w="160" w:type="dxa"/>
            </w:tcMar>
            <w:vAlign w:val="center"/>
            <w:shd w:fill="003366"/>
          </w:tcPr>
          <w:p>
            <w:pPr>
              <w:spacing w:before="40" w:after="40" w:line="276" w:lineRule="auto"/>
            </w:pPr>
            <w:r>
              <w:rPr>
                <w:rFonts w:ascii="Times New Roman" w:hAnsi="Times New Roman" w:cs="Times New Roman" w:eastAsia="Times New Roman"/>
                <w:b/>
                <w:i w:val="0"/>
                <w:color w:val="FFFFFF"/>
                <w:sz w:val="22"/>
              </w:rPr>
              <w:t>Lưu ý hiệu chỉnh &amp; Theo dõi độc tính</w:t>
            </w:r>
          </w:p>
        </w:tc>
      </w:tr>
      <w:tr>
        <w:tc>
          <w:tcPr>
            <w:tcW w:type="dxa" w:w="1871"/>
            <w:tcMar>
              <w:top w:w="140" w:type="dxa"/>
              <w:bottom w:w="140" w:type="dxa"/>
              <w:left w:w="160" w:type="dxa"/>
              <w:right w:w="160" w:type="dxa"/>
            </w:tcMar>
            <w:vAlign w:val="center"/>
            <w:shd w:fill="F7F9FB"/>
          </w:tcPr>
          <w:p>
            <w:pPr>
              <w:spacing w:before="40" w:after="40" w:line="276" w:lineRule="auto"/>
            </w:pPr>
            <w:r>
              <w:rPr>
                <w:rFonts w:ascii="Times New Roman" w:hAnsi="Times New Roman" w:cs="Times New Roman" w:eastAsia="Times New Roman"/>
                <w:b/>
                <w:i w:val="0"/>
                <w:color w:val="1E1E1E"/>
                <w:sz w:val="21"/>
              </w:rPr>
              <w:t>Aztreonam–avibactam</w:t>
            </w:r>
            <w:r>
              <w:rPr>
                <w:rFonts w:ascii="Times New Roman" w:hAnsi="Times New Roman" w:cs="Times New Roman" w:eastAsia="Times New Roman"/>
                <w:b w:val="0"/>
                <w:i w:val="0"/>
                <w:color w:val="1E1E1E"/>
                <w:sz w:val="21"/>
              </w:rPr>
              <w:t xml:space="preserve"> </w:t>
            </w:r>
            <w:r>
              <w:rPr>
                <w:rFonts w:ascii="Times New Roman" w:hAnsi="Times New Roman" w:cs="Times New Roman" w:eastAsia="Times New Roman"/>
                <w:b w:val="0"/>
                <w:i/>
                <w:color w:val="1E1E1E"/>
                <w:sz w:val="21"/>
              </w:rPr>
              <w:t>(Phối hợp cố định 3:1)</w:t>
            </w:r>
          </w:p>
        </w:tc>
        <w:tc>
          <w:tcPr>
            <w:tcW w:type="dxa" w:w="1871"/>
            <w:tcMar>
              <w:top w:w="140" w:type="dxa"/>
              <w:bottom w:w="140" w:type="dxa"/>
              <w:left w:w="160" w:type="dxa"/>
              <w:right w:w="160" w:type="dxa"/>
            </w:tcMar>
            <w:vAlign w:val="center"/>
            <w:shd w:fill="F7F9FB"/>
          </w:tcPr>
          <w:p>
            <w:pPr>
              <w:spacing w:before="40" w:after="40" w:line="276" w:lineRule="auto"/>
            </w:pPr>
            <w:r>
              <w:rPr>
                <w:rFonts w:ascii="Times New Roman" w:hAnsi="Times New Roman" w:cs="Times New Roman" w:eastAsia="Times New Roman"/>
                <w:b/>
                <w:i w:val="0"/>
                <w:color w:val="1E1E1E"/>
                <w:sz w:val="21"/>
              </w:rPr>
              <w:t>2,67 g</w:t>
            </w:r>
            <w:r>
              <w:rPr>
                <w:rFonts w:ascii="Times New Roman" w:hAnsi="Times New Roman" w:cs="Times New Roman" w:eastAsia="Times New Roman"/>
                <w:b w:val="0"/>
                <w:i w:val="0"/>
                <w:color w:val="1E1E1E"/>
                <w:sz w:val="21"/>
              </w:rPr>
              <w:t xml:space="preserve"> (2 g aztreonam / 0,67 g avibactam)</w:t>
            </w:r>
          </w:p>
        </w:tc>
        <w:tc>
          <w:tcPr>
            <w:tcW w:type="dxa" w:w="1871"/>
            <w:tcMar>
              <w:top w:w="140" w:type="dxa"/>
              <w:bottom w:w="140" w:type="dxa"/>
              <w:left w:w="160" w:type="dxa"/>
              <w:right w:w="160" w:type="dxa"/>
            </w:tcMar>
            <w:vAlign w:val="center"/>
            <w:shd w:fill="F7F9FB"/>
          </w:tcPr>
          <w:p>
            <w:pPr>
              <w:spacing w:before="40" w:after="40" w:line="276" w:lineRule="auto"/>
            </w:pPr>
            <w:r>
              <w:rPr>
                <w:rFonts w:ascii="Times New Roman" w:hAnsi="Times New Roman" w:cs="Times New Roman" w:eastAsia="Times New Roman"/>
                <w:b/>
                <w:i w:val="0"/>
                <w:color w:val="1E1E1E"/>
                <w:sz w:val="21"/>
              </w:rPr>
              <w:t>2 g</w:t>
            </w:r>
            <w:r>
              <w:rPr>
                <w:rFonts w:ascii="Times New Roman" w:hAnsi="Times New Roman" w:cs="Times New Roman" w:eastAsia="Times New Roman"/>
                <w:b w:val="0"/>
                <w:i w:val="0"/>
                <w:color w:val="1E1E1E"/>
                <w:sz w:val="21"/>
              </w:rPr>
              <w:t xml:space="preserve"> (1,5 g aztreonam / 0,5 g avibactam) </w:t>
            </w:r>
            <w:r>
              <w:rPr>
                <w:rFonts w:ascii="Times New Roman" w:hAnsi="Times New Roman" w:cs="Times New Roman" w:eastAsia="Times New Roman"/>
                <w:b/>
                <w:i w:val="0"/>
                <w:color w:val="1E1E1E"/>
                <w:sz w:val="21"/>
              </w:rPr>
              <w:t>mỗi 6 giờ</w:t>
            </w:r>
          </w:p>
        </w:tc>
        <w:tc>
          <w:tcPr>
            <w:tcW w:type="dxa" w:w="1871"/>
            <w:tcMar>
              <w:top w:w="140" w:type="dxa"/>
              <w:bottom w:w="140" w:type="dxa"/>
              <w:left w:w="160" w:type="dxa"/>
              <w:right w:w="160" w:type="dxa"/>
            </w:tcMar>
            <w:vAlign w:val="center"/>
            <w:shd w:fill="F7F9FB"/>
          </w:tcPr>
          <w:p>
            <w:pPr>
              <w:spacing w:before="40" w:after="40" w:line="276" w:lineRule="auto"/>
            </w:pPr>
            <w:r>
              <w:rPr>
                <w:rFonts w:ascii="Times New Roman" w:hAnsi="Times New Roman" w:cs="Times New Roman" w:eastAsia="Times New Roman"/>
                <w:b/>
                <w:i w:val="0"/>
                <w:color w:val="1E1E1E"/>
                <w:sz w:val="21"/>
              </w:rPr>
              <w:t>Truyền kéo dài 3 giờ</w:t>
            </w:r>
          </w:p>
        </w:tc>
        <w:tc>
          <w:tcPr>
            <w:tcW w:type="dxa" w:w="1871"/>
            <w:tcMar>
              <w:top w:w="140" w:type="dxa"/>
              <w:bottom w:w="140" w:type="dxa"/>
              <w:left w:w="160" w:type="dxa"/>
              <w:right w:w="160" w:type="dxa"/>
            </w:tcMar>
            <w:vAlign w:val="center"/>
            <w:shd w:fill="F7F9FB"/>
            <w:shd w:fill="F7F9FB"/>
          </w:tcPr>
          <w:p>
            <w:pPr>
              <w:spacing w:before="40" w:after="40" w:line="276" w:lineRule="auto"/>
            </w:pPr>
            <w:r>
              <w:rPr>
                <w:rFonts w:ascii="Times New Roman" w:hAnsi="Times New Roman" w:cs="Times New Roman" w:eastAsia="Times New Roman"/>
                <w:b w:val="0"/>
                <w:i w:val="0"/>
                <w:color w:val="1E1E1E"/>
                <w:sz w:val="21"/>
              </w:rPr>
              <w:t>• Tỷ lệ tăng men gan không triệu chứng khoảng 6%.</w:t>
            </w:r>
          </w:p>
          <w:p>
            <w:pPr>
              <w:spacing w:before="40" w:after="40" w:line="276" w:lineRule="auto"/>
            </w:pPr>
            <w:r>
              <w:rPr>
                <w:rFonts w:ascii="Times New Roman" w:hAnsi="Times New Roman" w:cs="Times New Roman" w:eastAsia="Times New Roman"/>
                <w:b w:val="0"/>
                <w:i w:val="0"/>
                <w:color w:val="1E1E1E"/>
                <w:sz w:val="21"/>
              </w:rPr>
              <w:t>• Hiệu chỉnh liều theo chức năng thận theo hướng dẫn của nhà sản xuất.</w:t>
            </w:r>
          </w:p>
        </w:tc>
      </w:tr>
      <w:tr>
        <w:tc>
          <w:tcPr>
            <w:tcW w:type="dxa" w:w="1871"/>
            <w:tcMar>
              <w:top w:w="140" w:type="dxa"/>
              <w:bottom w:w="140" w:type="dxa"/>
              <w:left w:w="160" w:type="dxa"/>
              <w:right w:w="160" w:type="dxa"/>
            </w:tcMar>
            <w:vAlign w:val="center"/>
            <w:shd w:fill="FFFFFF"/>
          </w:tcPr>
          <w:p>
            <w:pPr>
              <w:spacing w:before="40" w:after="40" w:line="276" w:lineRule="auto"/>
            </w:pPr>
            <w:r>
              <w:rPr>
                <w:rFonts w:ascii="Times New Roman" w:hAnsi="Times New Roman" w:cs="Times New Roman" w:eastAsia="Times New Roman"/>
                <w:b/>
                <w:i w:val="0"/>
                <w:color w:val="1E1E1E"/>
                <w:sz w:val="21"/>
              </w:rPr>
              <w:t>CZA + Aztreonam</w:t>
            </w:r>
            <w:r>
              <w:rPr>
                <w:rFonts w:ascii="Times New Roman" w:hAnsi="Times New Roman" w:cs="Times New Roman" w:eastAsia="Times New Roman"/>
                <w:b w:val="0"/>
                <w:i w:val="0"/>
                <w:color w:val="1E1E1E"/>
                <w:sz w:val="21"/>
              </w:rPr>
              <w:t xml:space="preserve"> </w:t>
            </w:r>
            <w:r>
              <w:rPr>
                <w:rFonts w:ascii="Times New Roman" w:hAnsi="Times New Roman" w:cs="Times New Roman" w:eastAsia="Times New Roman"/>
                <w:b w:val="0"/>
                <w:i/>
                <w:color w:val="1E1E1E"/>
                <w:sz w:val="21"/>
              </w:rPr>
              <w:t>(Phối hợp hai lọ rời)</w:t>
            </w:r>
          </w:p>
        </w:tc>
        <w:tc>
          <w:tcPr>
            <w:tcW w:type="dxa" w:w="1871"/>
            <w:tcMar>
              <w:top w:w="140" w:type="dxa"/>
              <w:bottom w:w="140" w:type="dxa"/>
              <w:left w:w="160" w:type="dxa"/>
              <w:right w:w="160" w:type="dxa"/>
            </w:tcMar>
            <w:vAlign w:val="center"/>
            <w:shd w:fill="FFFFFF"/>
          </w:tcPr>
          <w:p>
            <w:pPr>
              <w:spacing w:before="40" w:after="40" w:line="276" w:lineRule="auto"/>
            </w:pPr>
            <w:r>
              <w:rPr>
                <w:rFonts w:ascii="Times New Roman" w:hAnsi="Times New Roman" w:cs="Times New Roman" w:eastAsia="Times New Roman"/>
                <w:b w:val="0"/>
                <w:i w:val="0"/>
                <w:color w:val="1E1E1E"/>
                <w:sz w:val="21"/>
              </w:rPr>
              <w:t>Không</w:t>
            </w:r>
          </w:p>
        </w:tc>
        <w:tc>
          <w:tcPr>
            <w:tcW w:type="dxa" w:w="1871"/>
            <w:tcMar>
              <w:top w:w="140" w:type="dxa"/>
              <w:bottom w:w="140" w:type="dxa"/>
              <w:left w:w="160" w:type="dxa"/>
              <w:right w:w="160" w:type="dxa"/>
            </w:tcMar>
            <w:vAlign w:val="center"/>
            <w:shd w:fill="FFFFFF"/>
            <w:shd w:fill="FFFFFF"/>
          </w:tcPr>
          <w:p>
            <w:pPr>
              <w:spacing w:before="40" w:after="40" w:line="276" w:lineRule="auto"/>
            </w:pPr>
            <w:r>
              <w:rPr>
                <w:rFonts w:ascii="Times New Roman" w:hAnsi="Times New Roman" w:cs="Times New Roman" w:eastAsia="Times New Roman"/>
                <w:b w:val="0"/>
                <w:i w:val="0"/>
                <w:color w:val="1E1E1E"/>
                <w:sz w:val="21"/>
              </w:rPr>
              <w:t xml:space="preserve">• </w:t>
            </w:r>
            <w:r>
              <w:rPr>
                <w:rFonts w:ascii="Times New Roman" w:hAnsi="Times New Roman" w:cs="Times New Roman" w:eastAsia="Times New Roman"/>
                <w:b/>
                <w:i w:val="0"/>
                <w:color w:val="1E1E1E"/>
                <w:sz w:val="21"/>
              </w:rPr>
              <w:t>CZA: 2,5 g</w:t>
            </w:r>
            <w:r>
              <w:rPr>
                <w:rFonts w:ascii="Times New Roman" w:hAnsi="Times New Roman" w:cs="Times New Roman" w:eastAsia="Times New Roman"/>
                <w:b w:val="0"/>
                <w:i w:val="0"/>
                <w:color w:val="1E1E1E"/>
                <w:sz w:val="21"/>
              </w:rPr>
              <w:t xml:space="preserve"> (2 g/0,5 g) mỗi 8 giờ</w:t>
            </w:r>
          </w:p>
          <w:p>
            <w:pPr>
              <w:spacing w:before="40" w:after="40" w:line="276" w:lineRule="auto"/>
            </w:pPr>
            <w:r>
              <w:rPr>
                <w:rFonts w:ascii="Times New Roman" w:hAnsi="Times New Roman" w:cs="Times New Roman" w:eastAsia="Times New Roman"/>
                <w:b w:val="0"/>
                <w:i w:val="0"/>
                <w:color w:val="1E1E1E"/>
                <w:sz w:val="21"/>
              </w:rPr>
              <w:t xml:space="preserve">• </w:t>
            </w:r>
            <w:r>
              <w:rPr>
                <w:rFonts w:ascii="Times New Roman" w:hAnsi="Times New Roman" w:cs="Times New Roman" w:eastAsia="Times New Roman"/>
                <w:b/>
                <w:i w:val="0"/>
                <w:color w:val="1E1E1E"/>
                <w:sz w:val="21"/>
              </w:rPr>
              <w:t>Aztreonam: 2 g</w:t>
            </w:r>
            <w:r>
              <w:rPr>
                <w:rFonts w:ascii="Times New Roman" w:hAnsi="Times New Roman" w:cs="Times New Roman" w:eastAsia="Times New Roman"/>
                <w:b w:val="0"/>
                <w:i w:val="0"/>
                <w:color w:val="1E1E1E"/>
                <w:sz w:val="21"/>
              </w:rPr>
              <w:t xml:space="preserve"> mỗi 8 giờ</w:t>
            </w:r>
          </w:p>
        </w:tc>
        <w:tc>
          <w:tcPr>
            <w:tcW w:type="dxa" w:w="1871"/>
            <w:tcMar>
              <w:top w:w="140" w:type="dxa"/>
              <w:bottom w:w="140" w:type="dxa"/>
              <w:left w:w="160" w:type="dxa"/>
              <w:right w:w="160" w:type="dxa"/>
            </w:tcMar>
            <w:vAlign w:val="center"/>
            <w:shd w:fill="FFFFFF"/>
          </w:tcPr>
          <w:p>
            <w:pPr>
              <w:spacing w:before="40" w:after="40" w:line="276" w:lineRule="auto"/>
            </w:pPr>
            <w:r>
              <w:rPr>
                <w:rFonts w:ascii="Times New Roman" w:hAnsi="Times New Roman" w:cs="Times New Roman" w:eastAsia="Times New Roman"/>
                <w:b/>
                <w:i w:val="0"/>
                <w:color w:val="1E1E1E"/>
                <w:sz w:val="21"/>
              </w:rPr>
              <w:t>Truyền 3 giờ đồng thời qua chạc Y</w:t>
            </w:r>
          </w:p>
        </w:tc>
        <w:tc>
          <w:tcPr>
            <w:tcW w:type="dxa" w:w="1871"/>
            <w:tcMar>
              <w:top w:w="140" w:type="dxa"/>
              <w:bottom w:w="140" w:type="dxa"/>
              <w:left w:w="160" w:type="dxa"/>
              <w:right w:w="160" w:type="dxa"/>
            </w:tcMar>
            <w:vAlign w:val="center"/>
            <w:shd w:fill="FFFFFF"/>
            <w:shd w:fill="FFFFFF"/>
          </w:tcPr>
          <w:p>
            <w:pPr>
              <w:spacing w:before="40" w:after="40" w:line="276" w:lineRule="auto"/>
            </w:pPr>
            <w:r>
              <w:rPr>
                <w:rFonts w:ascii="Times New Roman" w:hAnsi="Times New Roman" w:cs="Times New Roman" w:eastAsia="Times New Roman"/>
                <w:b w:val="0"/>
                <w:i w:val="0"/>
                <w:color w:val="1E1E1E"/>
                <w:sz w:val="21"/>
              </w:rPr>
              <w:t xml:space="preserve">• Nguy cơ tăng ALT/AST lên tới </w:t>
            </w:r>
            <w:r>
              <w:rPr>
                <w:rFonts w:ascii="Times New Roman" w:hAnsi="Times New Roman" w:cs="Times New Roman" w:eastAsia="Times New Roman"/>
                <w:b/>
                <w:i w:val="0"/>
                <w:color w:val="1E1E1E"/>
                <w:sz w:val="21"/>
              </w:rPr>
              <w:t>40%</w:t>
            </w:r>
            <w:r>
              <w:rPr>
                <w:rFonts w:ascii="Times New Roman" w:hAnsi="Times New Roman" w:cs="Times New Roman" w:eastAsia="Times New Roman"/>
                <w:b w:val="0"/>
                <w:i w:val="0"/>
                <w:color w:val="1E1E1E"/>
                <w:sz w:val="21"/>
              </w:rPr>
              <w:t xml:space="preserve"> do tổng liều aztreonam lên tới 8 g/ngày (tự hồi phục sau khi ngừng thuốc).</w:t>
            </w:r>
          </w:p>
          <w:p>
            <w:pPr>
              <w:spacing w:before="40" w:after="40" w:line="276" w:lineRule="auto"/>
            </w:pPr>
            <w:r>
              <w:rPr>
                <w:rFonts w:ascii="Times New Roman" w:hAnsi="Times New Roman" w:cs="Times New Roman" w:eastAsia="Times New Roman"/>
                <w:b w:val="0"/>
                <w:i w:val="0"/>
                <w:color w:val="1E1E1E"/>
                <w:sz w:val="21"/>
              </w:rPr>
              <w:t>• Phải dùng 2 bơm tiêm điện/máy truyền riêng biệt, chập tại chạc ba sát tĩnh mạch.</w:t>
            </w:r>
          </w:p>
        </w:tc>
      </w:tr>
      <w:tr>
        <w:tc>
          <w:tcPr>
            <w:tcW w:type="dxa" w:w="1871"/>
            <w:tcMar>
              <w:top w:w="140" w:type="dxa"/>
              <w:bottom w:w="140" w:type="dxa"/>
              <w:left w:w="160" w:type="dxa"/>
              <w:right w:w="160" w:type="dxa"/>
            </w:tcMar>
            <w:vAlign w:val="center"/>
            <w:shd w:fill="F7F9FB"/>
          </w:tcPr>
          <w:p>
            <w:pPr>
              <w:spacing w:before="40" w:after="40" w:line="276" w:lineRule="auto"/>
            </w:pPr>
            <w:r>
              <w:rPr>
                <w:rFonts w:ascii="Times New Roman" w:hAnsi="Times New Roman" w:cs="Times New Roman" w:eastAsia="Times New Roman"/>
                <w:b/>
                <w:i w:val="0"/>
                <w:color w:val="1E1E1E"/>
                <w:sz w:val="21"/>
              </w:rPr>
              <w:t>Cefiderocol</w:t>
            </w:r>
          </w:p>
        </w:tc>
        <w:tc>
          <w:tcPr>
            <w:tcW w:type="dxa" w:w="1871"/>
            <w:tcMar>
              <w:top w:w="140" w:type="dxa"/>
              <w:bottom w:w="140" w:type="dxa"/>
              <w:left w:w="160" w:type="dxa"/>
              <w:right w:w="160" w:type="dxa"/>
            </w:tcMar>
            <w:vAlign w:val="center"/>
            <w:shd w:fill="F7F9FB"/>
          </w:tcPr>
          <w:p>
            <w:pPr>
              <w:spacing w:before="40" w:after="40" w:line="276" w:lineRule="auto"/>
            </w:pPr>
            <w:r>
              <w:rPr>
                <w:rFonts w:ascii="Times New Roman" w:hAnsi="Times New Roman" w:cs="Times New Roman" w:eastAsia="Times New Roman"/>
                <w:b w:val="0"/>
                <w:i w:val="0"/>
                <w:color w:val="1E1E1E"/>
                <w:sz w:val="21"/>
              </w:rPr>
              <w:t>Không</w:t>
            </w:r>
          </w:p>
        </w:tc>
        <w:tc>
          <w:tcPr>
            <w:tcW w:type="dxa" w:w="1871"/>
            <w:tcMar>
              <w:top w:w="140" w:type="dxa"/>
              <w:bottom w:w="140" w:type="dxa"/>
              <w:left w:w="160" w:type="dxa"/>
              <w:right w:w="160" w:type="dxa"/>
            </w:tcMar>
            <w:vAlign w:val="center"/>
            <w:shd w:fill="F7F9FB"/>
          </w:tcPr>
          <w:p>
            <w:pPr>
              <w:spacing w:before="40" w:after="40" w:line="276" w:lineRule="auto"/>
            </w:pPr>
            <w:r>
              <w:rPr>
                <w:rFonts w:ascii="Times New Roman" w:hAnsi="Times New Roman" w:cs="Times New Roman" w:eastAsia="Times New Roman"/>
                <w:b/>
                <w:i w:val="0"/>
                <w:color w:val="1E1E1E"/>
                <w:sz w:val="21"/>
              </w:rPr>
              <w:t>2 g mỗi 8 giờ</w:t>
            </w:r>
          </w:p>
        </w:tc>
        <w:tc>
          <w:tcPr>
            <w:tcW w:type="dxa" w:w="1871"/>
            <w:tcMar>
              <w:top w:w="140" w:type="dxa"/>
              <w:bottom w:w="140" w:type="dxa"/>
              <w:left w:w="160" w:type="dxa"/>
              <w:right w:w="160" w:type="dxa"/>
            </w:tcMar>
            <w:vAlign w:val="center"/>
            <w:shd w:fill="F7F9FB"/>
          </w:tcPr>
          <w:p>
            <w:pPr>
              <w:spacing w:before="40" w:after="40" w:line="276" w:lineRule="auto"/>
            </w:pPr>
            <w:r>
              <w:rPr>
                <w:rFonts w:ascii="Times New Roman" w:hAnsi="Times New Roman" w:cs="Times New Roman" w:eastAsia="Times New Roman"/>
                <w:b/>
                <w:i w:val="0"/>
                <w:color w:val="1E1E1E"/>
                <w:sz w:val="21"/>
              </w:rPr>
              <w:t>Truyền kéo dài 3 giờ</w:t>
            </w:r>
          </w:p>
        </w:tc>
        <w:tc>
          <w:tcPr>
            <w:tcW w:type="dxa" w:w="1871"/>
            <w:tcMar>
              <w:top w:w="140" w:type="dxa"/>
              <w:bottom w:w="140" w:type="dxa"/>
              <w:left w:w="160" w:type="dxa"/>
              <w:right w:w="160" w:type="dxa"/>
            </w:tcMar>
            <w:vAlign w:val="center"/>
            <w:shd w:fill="F7F9FB"/>
            <w:shd w:fill="F7F9FB"/>
          </w:tcPr>
          <w:p>
            <w:pPr>
              <w:spacing w:before="40" w:after="40" w:line="276" w:lineRule="auto"/>
            </w:pPr>
            <w:r>
              <w:rPr>
                <w:rFonts w:ascii="Times New Roman" w:hAnsi="Times New Roman" w:cs="Times New Roman" w:eastAsia="Times New Roman"/>
                <w:b w:val="0"/>
                <w:i w:val="0"/>
                <w:color w:val="1E1E1E"/>
                <w:sz w:val="21"/>
              </w:rPr>
              <w:t xml:space="preserve">• </w:t>
            </w:r>
            <w:r>
              <w:rPr>
                <w:rFonts w:ascii="Times New Roman" w:hAnsi="Times New Roman" w:cs="Times New Roman" w:eastAsia="Times New Roman"/>
                <w:b/>
                <w:i w:val="0"/>
                <w:color w:val="1E1E1E"/>
                <w:sz w:val="21"/>
              </w:rPr>
              <w:t>CẢNH BÁO TĂNG THANH THẢI THẬN (ARC):</w:t>
            </w:r>
            <w:r>
              <w:rPr>
                <w:rFonts w:ascii="Times New Roman" w:hAnsi="Times New Roman" w:cs="Times New Roman" w:eastAsia="Times New Roman"/>
                <w:b w:val="0"/>
                <w:i w:val="0"/>
                <w:color w:val="1E1E1E"/>
                <w:sz w:val="21"/>
              </w:rPr>
              <w:t xml:space="preserve"> Nếu CrCL ≥ 120 mL/phút, bắt buộc tăng liều lên </w:t>
            </w:r>
            <w:r>
              <w:rPr>
                <w:rFonts w:ascii="Times New Roman" w:hAnsi="Times New Roman" w:cs="Times New Roman" w:eastAsia="Times New Roman"/>
                <w:b/>
                <w:i w:val="0"/>
                <w:color w:val="1E1E1E"/>
                <w:sz w:val="21"/>
              </w:rPr>
              <w:t>2 g mỗi 6 giờ truyền 3 giờ</w:t>
            </w:r>
            <w:r>
              <w:rPr>
                <w:rFonts w:ascii="Times New Roman" w:hAnsi="Times New Roman" w:cs="Times New Roman" w:eastAsia="Times New Roman"/>
                <w:b w:val="0"/>
                <w:i w:val="0"/>
                <w:color w:val="1E1E1E"/>
                <w:sz w:val="21"/>
              </w:rPr>
              <w:t>.</w:t>
            </w:r>
          </w:p>
          <w:p>
            <w:pPr>
              <w:spacing w:before="40" w:after="40" w:line="276" w:lineRule="auto"/>
            </w:pPr>
            <w:r>
              <w:rPr>
                <w:rFonts w:ascii="Times New Roman" w:hAnsi="Times New Roman" w:cs="Times New Roman" w:eastAsia="Times New Roman"/>
                <w:b w:val="0"/>
                <w:i w:val="0"/>
                <w:color w:val="1E1E1E"/>
                <w:sz w:val="21"/>
              </w:rPr>
              <w:t>• Chỉnh giảm liều khi suy thận.</w:t>
            </w:r>
          </w:p>
        </w:tc>
      </w:tr>
      <w:tr>
        <w:tc>
          <w:tcPr>
            <w:tcW w:type="dxa" w:w="1871"/>
            <w:tcMar>
              <w:top w:w="140" w:type="dxa"/>
              <w:bottom w:w="140" w:type="dxa"/>
              <w:left w:w="160" w:type="dxa"/>
              <w:right w:w="160" w:type="dxa"/>
            </w:tcMar>
            <w:vAlign w:val="center"/>
            <w:shd w:fill="FFFFFF"/>
          </w:tcPr>
          <w:p>
            <w:pPr>
              <w:spacing w:before="40" w:after="40" w:line="276" w:lineRule="auto"/>
            </w:pPr>
            <w:r>
              <w:rPr>
                <w:rFonts w:ascii="Times New Roman" w:hAnsi="Times New Roman" w:cs="Times New Roman" w:eastAsia="Times New Roman"/>
                <w:b/>
                <w:i w:val="0"/>
                <w:color w:val="1E1E1E"/>
                <w:sz w:val="21"/>
              </w:rPr>
              <w:t>Fosfomycin IV</w:t>
            </w:r>
            <w:r>
              <w:rPr>
                <w:rFonts w:ascii="Times New Roman" w:hAnsi="Times New Roman" w:cs="Times New Roman" w:eastAsia="Times New Roman"/>
                <w:b w:val="0"/>
                <w:i w:val="0"/>
                <w:color w:val="1E1E1E"/>
                <w:sz w:val="21"/>
              </w:rPr>
              <w:t xml:space="preserve"> </w:t>
            </w:r>
            <w:r>
              <w:rPr>
                <w:rFonts w:ascii="Times New Roman" w:hAnsi="Times New Roman" w:cs="Times New Roman" w:eastAsia="Times New Roman"/>
                <w:b w:val="0"/>
                <w:i/>
                <w:color w:val="1E1E1E"/>
                <w:sz w:val="21"/>
              </w:rPr>
              <w:t>(Phác đồ cứu vãn)</w:t>
            </w:r>
          </w:p>
        </w:tc>
        <w:tc>
          <w:tcPr>
            <w:tcW w:type="dxa" w:w="1871"/>
            <w:tcMar>
              <w:top w:w="140" w:type="dxa"/>
              <w:bottom w:w="140" w:type="dxa"/>
              <w:left w:w="160" w:type="dxa"/>
              <w:right w:w="160" w:type="dxa"/>
            </w:tcMar>
            <w:vAlign w:val="center"/>
            <w:shd w:fill="FFFFFF"/>
          </w:tcPr>
          <w:p>
            <w:pPr>
              <w:spacing w:before="40" w:after="40" w:line="276" w:lineRule="auto"/>
            </w:pPr>
            <w:r>
              <w:rPr>
                <w:rFonts w:ascii="Times New Roman" w:hAnsi="Times New Roman" w:cs="Times New Roman" w:eastAsia="Times New Roman"/>
                <w:b w:val="0"/>
                <w:i w:val="0"/>
                <w:color w:val="1E1E1E"/>
                <w:sz w:val="21"/>
              </w:rPr>
              <w:t>Không</w:t>
            </w:r>
          </w:p>
        </w:tc>
        <w:tc>
          <w:tcPr>
            <w:tcW w:type="dxa" w:w="1871"/>
            <w:tcMar>
              <w:top w:w="140" w:type="dxa"/>
              <w:bottom w:w="140" w:type="dxa"/>
              <w:left w:w="160" w:type="dxa"/>
              <w:right w:w="160" w:type="dxa"/>
            </w:tcMar>
            <w:vAlign w:val="center"/>
            <w:shd w:fill="FFFFFF"/>
          </w:tcPr>
          <w:p>
            <w:pPr>
              <w:spacing w:before="40" w:after="40" w:line="276" w:lineRule="auto"/>
            </w:pPr>
            <w:r>
              <w:rPr>
                <w:rFonts w:ascii="Times New Roman" w:hAnsi="Times New Roman" w:cs="Times New Roman" w:eastAsia="Times New Roman"/>
                <w:b/>
                <w:i w:val="0"/>
                <w:color w:val="1E1E1E"/>
                <w:sz w:val="21"/>
              </w:rPr>
              <w:t>6 g mỗi 8 giờ</w:t>
            </w:r>
          </w:p>
        </w:tc>
        <w:tc>
          <w:tcPr>
            <w:tcW w:type="dxa" w:w="1871"/>
            <w:tcMar>
              <w:top w:w="140" w:type="dxa"/>
              <w:bottom w:w="140" w:type="dxa"/>
              <w:left w:w="160" w:type="dxa"/>
              <w:right w:w="160" w:type="dxa"/>
            </w:tcMar>
            <w:vAlign w:val="center"/>
            <w:shd w:fill="FFFFFF"/>
          </w:tcPr>
          <w:p>
            <w:pPr>
              <w:spacing w:before="40" w:after="40" w:line="276" w:lineRule="auto"/>
            </w:pPr>
            <w:r>
              <w:rPr>
                <w:rFonts w:ascii="Times New Roman" w:hAnsi="Times New Roman" w:cs="Times New Roman" w:eastAsia="Times New Roman"/>
                <w:b/>
                <w:i w:val="0"/>
                <w:color w:val="1E1E1E"/>
                <w:sz w:val="21"/>
              </w:rPr>
              <w:t>Truyền 1 giờ</w:t>
            </w:r>
          </w:p>
        </w:tc>
        <w:tc>
          <w:tcPr>
            <w:tcW w:type="dxa" w:w="1871"/>
            <w:tcMar>
              <w:top w:w="140" w:type="dxa"/>
              <w:bottom w:w="140" w:type="dxa"/>
              <w:left w:w="160" w:type="dxa"/>
              <w:right w:w="160" w:type="dxa"/>
            </w:tcMar>
            <w:vAlign w:val="center"/>
            <w:shd w:fill="FFFFFF"/>
          </w:tcPr>
          <w:p>
            <w:pPr>
              <w:spacing w:before="40" w:after="40" w:line="276" w:lineRule="auto"/>
            </w:pPr>
            <w:r>
              <w:rPr>
                <w:rFonts w:ascii="Times New Roman" w:hAnsi="Times New Roman" w:cs="Times New Roman" w:eastAsia="Times New Roman"/>
                <w:b w:val="0"/>
                <w:i w:val="0"/>
                <w:color w:val="1E1E1E"/>
                <w:sz w:val="21"/>
              </w:rPr>
              <w:t>• Chứa hàm lượng Natri rất cao (~14,4 mmol Na/g). Theo dõi sát kali máu (nguy cơ hạ kali) và dấu hiệu quá tải tuần hoàn, phù phổi, suy tim.</w:t>
            </w:r>
          </w:p>
        </w:tc>
      </w:tr>
      <w:tr>
        <w:tc>
          <w:tcPr>
            <w:tcW w:type="dxa" w:w="1871"/>
            <w:tcMar>
              <w:top w:w="140" w:type="dxa"/>
              <w:bottom w:w="140" w:type="dxa"/>
              <w:left w:w="160" w:type="dxa"/>
              <w:right w:w="160" w:type="dxa"/>
            </w:tcMar>
            <w:vAlign w:val="center"/>
            <w:shd w:fill="F7F9FB"/>
          </w:tcPr>
          <w:p>
            <w:pPr>
              <w:spacing w:before="40" w:after="40" w:line="276" w:lineRule="auto"/>
            </w:pPr>
            <w:r>
              <w:rPr>
                <w:rFonts w:ascii="Times New Roman" w:hAnsi="Times New Roman" w:cs="Times New Roman" w:eastAsia="Times New Roman"/>
                <w:b/>
                <w:i w:val="0"/>
                <w:color w:val="1E1E1E"/>
                <w:sz w:val="21"/>
              </w:rPr>
              <w:t>Tigecycline</w:t>
            </w:r>
            <w:r>
              <w:rPr>
                <w:rFonts w:ascii="Times New Roman" w:hAnsi="Times New Roman" w:cs="Times New Roman" w:eastAsia="Times New Roman"/>
                <w:b w:val="0"/>
                <w:i w:val="0"/>
                <w:color w:val="1E1E1E"/>
                <w:sz w:val="21"/>
              </w:rPr>
              <w:t xml:space="preserve"> </w:t>
            </w:r>
            <w:r>
              <w:rPr>
                <w:rFonts w:ascii="Times New Roman" w:hAnsi="Times New Roman" w:cs="Times New Roman" w:eastAsia="Times New Roman"/>
                <w:b w:val="0"/>
                <w:i/>
                <w:color w:val="1E1E1E"/>
                <w:sz w:val="21"/>
              </w:rPr>
              <w:t>(Phác đồ cứu vãn)</w:t>
            </w:r>
          </w:p>
        </w:tc>
        <w:tc>
          <w:tcPr>
            <w:tcW w:type="dxa" w:w="1871"/>
            <w:tcMar>
              <w:top w:w="140" w:type="dxa"/>
              <w:bottom w:w="140" w:type="dxa"/>
              <w:left w:w="160" w:type="dxa"/>
              <w:right w:w="160" w:type="dxa"/>
            </w:tcMar>
            <w:vAlign w:val="center"/>
            <w:shd w:fill="F7F9FB"/>
          </w:tcPr>
          <w:p>
            <w:pPr>
              <w:spacing w:before="40" w:after="40" w:line="276" w:lineRule="auto"/>
            </w:pPr>
            <w:r>
              <w:rPr>
                <w:rFonts w:ascii="Times New Roman" w:hAnsi="Times New Roman" w:cs="Times New Roman" w:eastAsia="Times New Roman"/>
                <w:b/>
                <w:i w:val="0"/>
                <w:color w:val="1E1E1E"/>
                <w:sz w:val="21"/>
              </w:rPr>
              <w:t>200 mg</w:t>
            </w:r>
            <w:r>
              <w:rPr>
                <w:rFonts w:ascii="Times New Roman" w:hAnsi="Times New Roman" w:cs="Times New Roman" w:eastAsia="Times New Roman"/>
                <w:b w:val="0"/>
                <w:i w:val="0"/>
                <w:color w:val="1E1E1E"/>
                <w:sz w:val="21"/>
              </w:rPr>
              <w:t xml:space="preserve"> một liều duy nhất</w:t>
            </w:r>
          </w:p>
        </w:tc>
        <w:tc>
          <w:tcPr>
            <w:tcW w:type="dxa" w:w="1871"/>
            <w:tcMar>
              <w:top w:w="140" w:type="dxa"/>
              <w:bottom w:w="140" w:type="dxa"/>
              <w:left w:w="160" w:type="dxa"/>
              <w:right w:w="160" w:type="dxa"/>
            </w:tcMar>
            <w:vAlign w:val="center"/>
            <w:shd w:fill="F7F9FB"/>
          </w:tcPr>
          <w:p>
            <w:pPr>
              <w:spacing w:before="40" w:after="40" w:line="276" w:lineRule="auto"/>
            </w:pPr>
            <w:r>
              <w:rPr>
                <w:rFonts w:ascii="Times New Roman" w:hAnsi="Times New Roman" w:cs="Times New Roman" w:eastAsia="Times New Roman"/>
                <w:b/>
                <w:i w:val="0"/>
                <w:color w:val="1E1E1E"/>
                <w:sz w:val="21"/>
              </w:rPr>
              <w:t>100 mg mỗi 12 giờ</w:t>
            </w:r>
            <w:r>
              <w:rPr>
                <w:rFonts w:ascii="Times New Roman" w:hAnsi="Times New Roman" w:cs="Times New Roman" w:eastAsia="Times New Roman"/>
                <w:b w:val="0"/>
                <w:i w:val="0"/>
                <w:color w:val="1E1E1E"/>
                <w:sz w:val="21"/>
              </w:rPr>
              <w:t xml:space="preserve"> </w:t>
            </w:r>
            <w:r>
              <w:rPr>
                <w:rFonts w:ascii="Times New Roman" w:hAnsi="Times New Roman" w:cs="Times New Roman" w:eastAsia="Times New Roman"/>
                <w:b w:val="0"/>
                <w:i/>
                <w:color w:val="1E1E1E"/>
                <w:sz w:val="21"/>
              </w:rPr>
              <w:t>(Liều cao)</w:t>
            </w:r>
          </w:p>
        </w:tc>
        <w:tc>
          <w:tcPr>
            <w:tcW w:type="dxa" w:w="1871"/>
            <w:tcMar>
              <w:top w:w="140" w:type="dxa"/>
              <w:bottom w:w="140" w:type="dxa"/>
              <w:left w:w="160" w:type="dxa"/>
              <w:right w:w="160" w:type="dxa"/>
            </w:tcMar>
            <w:vAlign w:val="center"/>
            <w:shd w:fill="F7F9FB"/>
          </w:tcPr>
          <w:p>
            <w:pPr>
              <w:spacing w:before="40" w:after="40" w:line="276" w:lineRule="auto"/>
            </w:pPr>
            <w:r>
              <w:rPr>
                <w:rFonts w:ascii="Times New Roman" w:hAnsi="Times New Roman" w:cs="Times New Roman" w:eastAsia="Times New Roman"/>
                <w:b w:val="0"/>
                <w:i w:val="0"/>
                <w:color w:val="1E1E1E"/>
                <w:sz w:val="21"/>
              </w:rPr>
              <w:t>Truyền 60 phút</w:t>
            </w:r>
          </w:p>
        </w:tc>
        <w:tc>
          <w:tcPr>
            <w:tcW w:type="dxa" w:w="1871"/>
            <w:tcMar>
              <w:top w:w="140" w:type="dxa"/>
              <w:bottom w:w="140" w:type="dxa"/>
              <w:left w:w="160" w:type="dxa"/>
              <w:right w:w="160" w:type="dxa"/>
            </w:tcMar>
            <w:vAlign w:val="center"/>
            <w:shd w:fill="F7F9FB"/>
            <w:shd w:fill="F7F9FB"/>
          </w:tcPr>
          <w:p>
            <w:pPr>
              <w:spacing w:before="40" w:after="40" w:line="276" w:lineRule="auto"/>
            </w:pPr>
            <w:r>
              <w:rPr>
                <w:rFonts w:ascii="Times New Roman" w:hAnsi="Times New Roman" w:cs="Times New Roman" w:eastAsia="Times New Roman"/>
                <w:b w:val="0"/>
                <w:i w:val="0"/>
                <w:color w:val="1E1E1E"/>
                <w:sz w:val="21"/>
              </w:rPr>
              <w:t>• Tác dụng phụ buồn nôn/nôn chiếm 20–25%.</w:t>
            </w:r>
          </w:p>
          <w:p>
            <w:pPr>
              <w:spacing w:before="40" w:after="40" w:line="276" w:lineRule="auto"/>
            </w:pPr>
            <w:r>
              <w:rPr>
                <w:rFonts w:ascii="Times New Roman" w:hAnsi="Times New Roman" w:cs="Times New Roman" w:eastAsia="Times New Roman"/>
                <w:b w:val="0"/>
                <w:i w:val="0"/>
                <w:color w:val="1E1E1E"/>
                <w:sz w:val="21"/>
              </w:rPr>
              <w:t>• Tránh dùng cho nhiễm trùng máu và nước tiểu.</w:t>
            </w:r>
          </w:p>
        </w:tc>
      </w:tr>
      <w:tr>
        <w:tc>
          <w:tcPr>
            <w:tcW w:type="dxa" w:w="1871"/>
            <w:tcMar>
              <w:top w:w="140" w:type="dxa"/>
              <w:bottom w:w="140" w:type="dxa"/>
              <w:left w:w="160" w:type="dxa"/>
              <w:right w:w="160" w:type="dxa"/>
            </w:tcMar>
            <w:vAlign w:val="center"/>
            <w:shd w:fill="FFFFFF"/>
          </w:tcPr>
          <w:p>
            <w:pPr>
              <w:spacing w:before="40" w:after="40" w:line="276" w:lineRule="auto"/>
            </w:pPr>
            <w:r>
              <w:rPr>
                <w:rFonts w:ascii="Times New Roman" w:hAnsi="Times New Roman" w:cs="Times New Roman" w:eastAsia="Times New Roman"/>
                <w:b/>
                <w:i w:val="0"/>
                <w:color w:val="1E1E1E"/>
                <w:sz w:val="21"/>
              </w:rPr>
              <w:t>Polymyxin B</w:t>
            </w:r>
            <w:r>
              <w:rPr>
                <w:rFonts w:ascii="Times New Roman" w:hAnsi="Times New Roman" w:cs="Times New Roman" w:eastAsia="Times New Roman"/>
                <w:b w:val="0"/>
                <w:i w:val="0"/>
                <w:color w:val="1E1E1E"/>
                <w:sz w:val="21"/>
              </w:rPr>
              <w:t xml:space="preserve"> </w:t>
            </w:r>
            <w:r>
              <w:rPr>
                <w:rFonts w:ascii="Times New Roman" w:hAnsi="Times New Roman" w:cs="Times New Roman" w:eastAsia="Times New Roman"/>
                <w:b w:val="0"/>
                <w:i/>
                <w:color w:val="1E1E1E"/>
                <w:sz w:val="21"/>
              </w:rPr>
              <w:t>(Phác đồ cứu vãn)</w:t>
            </w:r>
          </w:p>
        </w:tc>
        <w:tc>
          <w:tcPr>
            <w:tcW w:type="dxa" w:w="1871"/>
            <w:tcMar>
              <w:top w:w="140" w:type="dxa"/>
              <w:bottom w:w="140" w:type="dxa"/>
              <w:left w:w="160" w:type="dxa"/>
              <w:right w:w="160" w:type="dxa"/>
            </w:tcMar>
            <w:vAlign w:val="center"/>
            <w:shd w:fill="FFFFFF"/>
          </w:tcPr>
          <w:p>
            <w:pPr>
              <w:spacing w:before="40" w:after="40" w:line="276" w:lineRule="auto"/>
            </w:pPr>
            <w:r>
              <w:rPr>
                <w:rFonts w:ascii="Times New Roman" w:hAnsi="Times New Roman" w:cs="Times New Roman" w:eastAsia="Times New Roman"/>
                <w:b w:val="0"/>
                <w:i w:val="0"/>
                <w:color w:val="1E1E1E"/>
                <w:sz w:val="21"/>
              </w:rPr>
              <w:t>2,0–2,5 mg/kg</w:t>
            </w:r>
          </w:p>
        </w:tc>
        <w:tc>
          <w:tcPr>
            <w:tcW w:type="dxa" w:w="1871"/>
            <w:tcMar>
              <w:top w:w="140" w:type="dxa"/>
              <w:bottom w:w="140" w:type="dxa"/>
              <w:left w:w="160" w:type="dxa"/>
              <w:right w:w="160" w:type="dxa"/>
            </w:tcMar>
            <w:vAlign w:val="center"/>
            <w:shd w:fill="FFFFFF"/>
          </w:tcPr>
          <w:p>
            <w:pPr>
              <w:spacing w:before="40" w:after="40" w:line="276" w:lineRule="auto"/>
            </w:pPr>
            <w:r>
              <w:rPr>
                <w:rFonts w:ascii="Times New Roman" w:hAnsi="Times New Roman" w:cs="Times New Roman" w:eastAsia="Times New Roman"/>
                <w:b w:val="0"/>
                <w:i w:val="0"/>
                <w:color w:val="1E1E1E"/>
                <w:sz w:val="21"/>
              </w:rPr>
              <w:t>1,25–1,5 mg/kg mỗi 12 giờ</w:t>
            </w:r>
          </w:p>
        </w:tc>
        <w:tc>
          <w:tcPr>
            <w:tcW w:type="dxa" w:w="1871"/>
            <w:tcMar>
              <w:top w:w="140" w:type="dxa"/>
              <w:bottom w:w="140" w:type="dxa"/>
              <w:left w:w="160" w:type="dxa"/>
              <w:right w:w="160" w:type="dxa"/>
            </w:tcMar>
            <w:vAlign w:val="center"/>
            <w:shd w:fill="FFFFFF"/>
          </w:tcPr>
          <w:p>
            <w:pPr>
              <w:spacing w:before="40" w:after="40" w:line="276" w:lineRule="auto"/>
            </w:pPr>
            <w:r>
              <w:rPr>
                <w:rFonts w:ascii="Times New Roman" w:hAnsi="Times New Roman" w:cs="Times New Roman" w:eastAsia="Times New Roman"/>
                <w:b w:val="0"/>
                <w:i w:val="0"/>
                <w:color w:val="1E1E1E"/>
                <w:sz w:val="21"/>
              </w:rPr>
              <w:t>Truyền 60 phút</w:t>
            </w:r>
          </w:p>
        </w:tc>
        <w:tc>
          <w:tcPr>
            <w:tcW w:type="dxa" w:w="1871"/>
            <w:tcMar>
              <w:top w:w="140" w:type="dxa"/>
              <w:bottom w:w="140" w:type="dxa"/>
              <w:left w:w="160" w:type="dxa"/>
              <w:right w:w="160" w:type="dxa"/>
            </w:tcMar>
            <w:vAlign w:val="center"/>
            <w:shd w:fill="FFFFFF"/>
          </w:tcPr>
          <w:p>
            <w:pPr>
              <w:spacing w:before="40" w:after="40" w:line="276" w:lineRule="auto"/>
            </w:pPr>
            <w:r>
              <w:rPr>
                <w:rFonts w:ascii="Times New Roman" w:hAnsi="Times New Roman" w:cs="Times New Roman" w:eastAsia="Times New Roman"/>
                <w:b w:val="0"/>
                <w:i w:val="0"/>
                <w:color w:val="1E1E1E"/>
                <w:sz w:val="21"/>
              </w:rPr>
              <w:t>• Độc tính trên thận và thần kinh. Thải trừ chủ yếu ngoài thận, không cần chỉnh liều theo suy thận.</w:t>
            </w:r>
          </w:p>
        </w:tc>
      </w:tr>
    </w:tbl>
    <w:p>
      <w:pPr>
        <w:spacing w:before="0" w:after="120"/>
      </w:pPr>
    </w:p>
    <w:p>
      <w:pPr>
        <w:spacing w:before="160" w:after="160"/>
        <w:pBdr>
          <w:bottom w:val="single" w:sz="8" w:space="1" w:color="003366"/>
        </w:pBdr>
      </w:pPr>
    </w:p>
    <w:p>
      <w:pPr>
        <w:keepNext/>
        <w:spacing w:before="280" w:after="80"/>
      </w:pPr>
      <w:r>
        <w:rPr>
          <w:rFonts w:ascii="Times New Roman" w:hAnsi="Times New Roman" w:cs="Times New Roman" w:eastAsia="Times New Roman"/>
          <w:b/>
          <w:i w:val="0"/>
          <w:color w:val="003C78"/>
          <w:sz w:val="27"/>
        </w:rPr>
        <w:t>6. KHUYẾN NGHỊ THỰC HÀNH CHO DƯỢC SĨ LÂM SÀNG VÀ BÁC SĨ ĐIỀU TRỊ</w:t>
      </w:r>
    </w:p>
    <w:p>
      <w:pPr>
        <w:pStyle w:val="ListNumber"/>
        <w:spacing w:before="40" w:after="60" w:line="276" w:lineRule="auto"/>
        <w:jc w:val="both"/>
      </w:pPr>
      <w:r>
        <w:rPr>
          <w:rFonts w:ascii="Times New Roman" w:hAnsi="Times New Roman" w:cs="Times New Roman" w:eastAsia="Times New Roman"/>
          <w:b/>
          <w:i w:val="0"/>
          <w:color w:val="1E1E1E"/>
          <w:sz w:val="24"/>
        </w:rPr>
        <w:t>Tầm quan trọng của xét nghiệm định danh gen kháng thuốc nhanh:</w:t>
      </w:r>
      <w:r>
        <w:rPr>
          <w:rFonts w:ascii="Times New Roman" w:hAnsi="Times New Roman" w:cs="Times New Roman" w:eastAsia="Times New Roman"/>
          <w:b w:val="0"/>
          <w:i w:val="0"/>
          <w:color w:val="1E1E1E"/>
          <w:sz w:val="24"/>
        </w:rPr>
        <w:t xml:space="preserve"> Khi có kết quả cấy máu hoặc bệnh phẩm đường thở báo vi khuẩn Gram âm kháng carbapenem, việc triển khai ngay các panel sinh học phân tử đa mồi (như BioFire FilmArray, GenMark ePlex) để xác định sự hiện diện của gen </w:t>
      </w:r>
      <w:r>
        <w:rPr>
          <w:rFonts w:ascii="Times New Roman" w:hAnsi="Times New Roman" w:cs="Times New Roman" w:eastAsia="Times New Roman"/>
          <w:b w:val="0"/>
          <w:i/>
          <w:color w:val="1E1E1E"/>
          <w:sz w:val="24"/>
        </w:rPr>
        <w:t>bla</w:t>
      </w:r>
      <w:r>
        <w:rPr>
          <w:b w:val="0"/>
          <w:i w:val="0"/>
          <w:color w:val="1E1E1E"/>
          <w:sz w:val="20"/>
          <w:vertAlign w:val="subscript"/>
          <w:rFonts w:ascii="Times New Roman" w:hAnsi="Times New Roman" w:cs="Times New Roman" w:eastAsia="Times New Roman"/>
        </w:rPr>
        <w:t>NDM</w:t>
      </w:r>
      <w:r>
        <w:rPr>
          <w:rFonts w:ascii="Times New Roman" w:hAnsi="Times New Roman" w:cs="Times New Roman" w:eastAsia="Times New Roman"/>
          <w:b w:val="0"/>
          <w:i w:val="0"/>
          <w:color w:val="1E1E1E"/>
          <w:sz w:val="24"/>
        </w:rPr>
        <w:t xml:space="preserve">, </w:t>
      </w:r>
      <w:r>
        <w:rPr>
          <w:rFonts w:ascii="Times New Roman" w:hAnsi="Times New Roman" w:cs="Times New Roman" w:eastAsia="Times New Roman"/>
          <w:b w:val="0"/>
          <w:i/>
          <w:color w:val="1E1E1E"/>
          <w:sz w:val="24"/>
        </w:rPr>
        <w:t>bla</w:t>
      </w:r>
      <w:r>
        <w:rPr>
          <w:b w:val="0"/>
          <w:i w:val="0"/>
          <w:color w:val="1E1E1E"/>
          <w:sz w:val="20"/>
          <w:vertAlign w:val="subscript"/>
          <w:rFonts w:ascii="Times New Roman" w:hAnsi="Times New Roman" w:cs="Times New Roman" w:eastAsia="Times New Roman"/>
        </w:rPr>
        <w:t>VIM</w:t>
      </w:r>
      <w:r>
        <w:rPr>
          <w:rFonts w:ascii="Times New Roman" w:hAnsi="Times New Roman" w:cs="Times New Roman" w:eastAsia="Times New Roman"/>
          <w:b w:val="0"/>
          <w:i w:val="0"/>
          <w:color w:val="1E1E1E"/>
          <w:sz w:val="24"/>
        </w:rPr>
        <w:t xml:space="preserve">, </w:t>
      </w:r>
      <w:r>
        <w:rPr>
          <w:rFonts w:ascii="Times New Roman" w:hAnsi="Times New Roman" w:cs="Times New Roman" w:eastAsia="Times New Roman"/>
          <w:b w:val="0"/>
          <w:i/>
          <w:color w:val="1E1E1E"/>
          <w:sz w:val="24"/>
        </w:rPr>
        <w:t>bla</w:t>
      </w:r>
      <w:r>
        <w:rPr>
          <w:b w:val="0"/>
          <w:i w:val="0"/>
          <w:color w:val="1E1E1E"/>
          <w:sz w:val="20"/>
          <w:vertAlign w:val="subscript"/>
          <w:rFonts w:ascii="Times New Roman" w:hAnsi="Times New Roman" w:cs="Times New Roman" w:eastAsia="Times New Roman"/>
        </w:rPr>
        <w:t>KPC</w:t>
      </w:r>
      <w:r>
        <w:rPr>
          <w:rFonts w:ascii="Times New Roman" w:hAnsi="Times New Roman" w:cs="Times New Roman" w:eastAsia="Times New Roman"/>
          <w:b w:val="0"/>
          <w:i w:val="0"/>
          <w:color w:val="1E1E1E"/>
          <w:sz w:val="24"/>
        </w:rPr>
        <w:t xml:space="preserve"> hoặc </w:t>
      </w:r>
      <w:r>
        <w:rPr>
          <w:rFonts w:ascii="Times New Roman" w:hAnsi="Times New Roman" w:cs="Times New Roman" w:eastAsia="Times New Roman"/>
          <w:b w:val="0"/>
          <w:i/>
          <w:color w:val="1E1E1E"/>
          <w:sz w:val="24"/>
        </w:rPr>
        <w:t>bla</w:t>
      </w:r>
      <w:r>
        <w:rPr>
          <w:b w:val="0"/>
          <w:i w:val="0"/>
          <w:color w:val="1E1E1E"/>
          <w:sz w:val="20"/>
          <w:vertAlign w:val="subscript"/>
          <w:rFonts w:ascii="Times New Roman" w:hAnsi="Times New Roman" w:cs="Times New Roman" w:eastAsia="Times New Roman"/>
        </w:rPr>
        <w:t>OXA-48</w:t>
      </w:r>
      <w:r>
        <w:rPr>
          <w:rFonts w:ascii="Times New Roman" w:hAnsi="Times New Roman" w:cs="Times New Roman" w:eastAsia="Times New Roman"/>
          <w:b w:val="0"/>
          <w:i w:val="0"/>
          <w:color w:val="1E1E1E"/>
          <w:sz w:val="24"/>
        </w:rPr>
        <w:t xml:space="preserve"> là bước đi mang tính quyết định. Nếu phát hiện vi khuẩn sinh NDM hoặc VIM, </w:t>
      </w:r>
      <w:r>
        <w:rPr>
          <w:rFonts w:ascii="Times New Roman" w:hAnsi="Times New Roman" w:cs="Times New Roman" w:eastAsia="Times New Roman"/>
          <w:b/>
          <w:i w:val="0"/>
          <w:color w:val="1E1E1E"/>
          <w:sz w:val="24"/>
        </w:rPr>
        <w:t>lập tức loại bỏ Ceftazidime–avibactam đơn độc, Meropenem–vaborbactam và Imipenem–relebactam khỏi phác đồ</w:t>
      </w:r>
      <w:r>
        <w:rPr>
          <w:rFonts w:ascii="Times New Roman" w:hAnsi="Times New Roman" w:cs="Times New Roman" w:eastAsia="Times New Roman"/>
          <w:b w:val="0"/>
          <w:i w:val="0"/>
          <w:color w:val="1E1E1E"/>
          <w:sz w:val="24"/>
        </w:rPr>
        <w:t>.</w:t>
      </w:r>
    </w:p>
    <w:p>
      <w:pPr>
        <w:pStyle w:val="ListNumber"/>
        <w:spacing w:before="40" w:after="60" w:line="276" w:lineRule="auto"/>
        <w:jc w:val="both"/>
      </w:pPr>
      <w:r>
        <w:rPr>
          <w:rFonts w:ascii="Times New Roman" w:hAnsi="Times New Roman" w:cs="Times New Roman" w:eastAsia="Times New Roman"/>
          <w:b/>
          <w:i w:val="0"/>
          <w:color w:val="1E1E1E"/>
          <w:sz w:val="24"/>
        </w:rPr>
        <w:t>Quy trình truyền đồng thời CZA + Aztreonam qua chạc ba Y-site:</w:t>
      </w:r>
    </w:p>
    <w:p>
      <w:pPr>
        <w:pStyle w:val="ListBullet"/>
        <w:spacing w:before="40" w:after="60" w:line="276" w:lineRule="auto"/>
        <w:jc w:val="both"/>
      </w:pPr>
      <w:r>
        <w:rPr>
          <w:rFonts w:ascii="Times New Roman" w:hAnsi="Times New Roman" w:cs="Times New Roman" w:eastAsia="Times New Roman"/>
          <w:b w:val="0"/>
          <w:i w:val="0"/>
          <w:color w:val="1E1E1E"/>
          <w:sz w:val="24"/>
        </w:rPr>
        <w:t>Trong giai đoạn chờ có chế phẩm cố định Aztreonam–avibactam, các bệnh viện cần ban hành quy trình thao tác chuẩn (SOP) hướng dẫn điều dưỡng về kỹ thuật truyền đồng thời qua chạc ba Y-site. Nghiên cứu COMBINE đã chứng minh độ ổn định và tính tương thích hóa lý khi cho hai dung dịch gặp nhau tại chạc Y [6]. Cần xét nghiệm theo dõi men gan (AST, ALT) định kỳ 2 lần mỗi tuần trong suốt đợt điều trị.</w:t>
      </w:r>
    </w:p>
    <w:p>
      <w:pPr>
        <w:pStyle w:val="ListNumber"/>
        <w:spacing w:before="40" w:after="60" w:line="276" w:lineRule="auto"/>
        <w:jc w:val="both"/>
      </w:pPr>
      <w:r>
        <w:rPr>
          <w:rFonts w:ascii="Times New Roman" w:hAnsi="Times New Roman" w:cs="Times New Roman" w:eastAsia="Times New Roman"/>
          <w:b/>
          <w:i w:val="0"/>
          <w:color w:val="1E1E1E"/>
          <w:sz w:val="24"/>
        </w:rPr>
        <w:t>Tối ưu hóa thời gian điều trị kháng sinh:</w:t>
      </w:r>
    </w:p>
    <w:p>
      <w:pPr>
        <w:pStyle w:val="ListBullet"/>
        <w:spacing w:before="40" w:after="60" w:line="276" w:lineRule="auto"/>
        <w:jc w:val="both"/>
      </w:pPr>
      <w:r>
        <w:rPr>
          <w:rFonts w:ascii="Times New Roman" w:hAnsi="Times New Roman" w:cs="Times New Roman" w:eastAsia="Times New Roman"/>
          <w:b w:val="0"/>
          <w:i w:val="0"/>
          <w:color w:val="1E1E1E"/>
          <w:sz w:val="24"/>
        </w:rPr>
        <w:t>Không tự ý kéo dài thời gian điều trị chỉ vì vi khuẩn mang kiểu hình đa kháng hoặc siêu kháng thuốc. Khi ổ nhiễm khuẩn đã được can thiệp và kiểm soát triệt để, đồng thời bệnh nhân có đáp ứng lâm sàng thuận lợi, thời gian điều trị nhiễm khuẩn huyết do vi khuẩn sinh NDM thông thường là từ 7 đến 14 ngày, hoàn toàn tương đương với các chủng vi khuẩn nhạy cảm [1, 19].</w:t>
      </w:r>
    </w:p>
    <w:p>
      <w:pPr>
        <w:spacing w:before="160" w:after="160"/>
        <w:pBdr>
          <w:bottom w:val="single" w:sz="8" w:space="1" w:color="003366"/>
        </w:pBdr>
      </w:pPr>
    </w:p>
    <w:p>
      <w:pPr>
        <w:keepNext/>
        <w:spacing w:before="280" w:after="80"/>
      </w:pPr>
      <w:r>
        <w:rPr>
          <w:rFonts w:ascii="Times New Roman" w:hAnsi="Times New Roman" w:cs="Times New Roman" w:eastAsia="Times New Roman"/>
          <w:b/>
          <w:i w:val="0"/>
          <w:color w:val="003C78"/>
          <w:sz w:val="27"/>
        </w:rPr>
        <w:t>TÀI LIỆU THAM KHẢO</w:t>
      </w:r>
    </w:p>
    <w:p>
      <w:pPr>
        <w:pStyle w:val="ListNumber"/>
        <w:spacing w:before="40" w:after="60" w:line="276" w:lineRule="auto"/>
        <w:jc w:val="both"/>
      </w:pPr>
      <w:r>
        <w:rPr>
          <w:rFonts w:ascii="Times New Roman" w:hAnsi="Times New Roman" w:cs="Times New Roman" w:eastAsia="Times New Roman"/>
          <w:b w:val="0"/>
          <w:i w:val="0"/>
          <w:color w:val="1E1E1E"/>
          <w:sz w:val="24"/>
        </w:rPr>
        <w:t xml:space="preserve">Tamma PD, Bonomo RA, Heil EL, Justo JA, Satlin MJ, Mathers AJ. Infectious Diseases Society of America 2026 Guidance on the Treatment of Antimicrobial-Resistant Gram-Negative Infections. </w:t>
      </w:r>
      <w:r>
        <w:rPr>
          <w:rFonts w:ascii="Times New Roman" w:hAnsi="Times New Roman" w:cs="Times New Roman" w:eastAsia="Times New Roman"/>
          <w:b w:val="0"/>
          <w:i/>
          <w:color w:val="1E1E1E"/>
          <w:sz w:val="24"/>
        </w:rPr>
        <w:t>IDSA Practice Guidelines</w:t>
      </w:r>
      <w:r>
        <w:rPr>
          <w:rFonts w:ascii="Times New Roman" w:hAnsi="Times New Roman" w:cs="Times New Roman" w:eastAsia="Times New Roman"/>
          <w:b w:val="0"/>
          <w:i w:val="0"/>
          <w:color w:val="1E1E1E"/>
          <w:sz w:val="24"/>
        </w:rPr>
        <w:t>, March 1, 2026.</w:t>
      </w:r>
    </w:p>
    <w:p>
      <w:pPr>
        <w:pStyle w:val="ListNumber"/>
        <w:spacing w:before="40" w:after="60" w:line="276" w:lineRule="auto"/>
        <w:jc w:val="both"/>
      </w:pPr>
      <w:r>
        <w:rPr>
          <w:rFonts w:ascii="Times New Roman" w:hAnsi="Times New Roman" w:cs="Times New Roman" w:eastAsia="Times New Roman"/>
          <w:b w:val="0"/>
          <w:i w:val="0"/>
          <w:color w:val="1E1E1E"/>
          <w:sz w:val="24"/>
        </w:rPr>
        <w:t xml:space="preserve">Warecki BA, Tomatis PE, Mojica MF, et al. Cefiderocol "under siege"? Understanding the rise of NDM-mediated resistance to novel agents. </w:t>
      </w:r>
      <w:r>
        <w:rPr>
          <w:rFonts w:ascii="Times New Roman" w:hAnsi="Times New Roman" w:cs="Times New Roman" w:eastAsia="Times New Roman"/>
          <w:b w:val="0"/>
          <w:i/>
          <w:color w:val="1E1E1E"/>
          <w:sz w:val="24"/>
        </w:rPr>
        <w:t>Chem Sci</w:t>
      </w:r>
      <w:r>
        <w:rPr>
          <w:rFonts w:ascii="Times New Roman" w:hAnsi="Times New Roman" w:cs="Times New Roman" w:eastAsia="Times New Roman"/>
          <w:b w:val="0"/>
          <w:i w:val="0"/>
          <w:color w:val="1E1E1E"/>
          <w:sz w:val="24"/>
        </w:rPr>
        <w:t xml:space="preserve"> 2025.</w:t>
      </w:r>
    </w:p>
    <w:p>
      <w:pPr>
        <w:pStyle w:val="ListNumber"/>
        <w:spacing w:before="40" w:after="60" w:line="276" w:lineRule="auto"/>
        <w:jc w:val="both"/>
      </w:pPr>
      <w:r>
        <w:rPr>
          <w:rFonts w:ascii="Times New Roman" w:hAnsi="Times New Roman" w:cs="Times New Roman" w:eastAsia="Times New Roman"/>
          <w:b w:val="0"/>
          <w:i w:val="0"/>
          <w:color w:val="1E1E1E"/>
          <w:sz w:val="24"/>
        </w:rPr>
        <w:t xml:space="preserve">Carmeli Y, Cisneros JM, Paul M, et al. Aztreonam-avibactam versus meropenem for the treatment of serious infections caused by Gram-negative bacteria (REVISIT): a descriptive, multinational, open-label, phase 3, randomised trial. </w:t>
      </w:r>
      <w:r>
        <w:rPr>
          <w:rFonts w:ascii="Times New Roman" w:hAnsi="Times New Roman" w:cs="Times New Roman" w:eastAsia="Times New Roman"/>
          <w:b w:val="0"/>
          <w:i/>
          <w:color w:val="1E1E1E"/>
          <w:sz w:val="24"/>
        </w:rPr>
        <w:t>Lancet Infect Dis</w:t>
      </w:r>
      <w:r>
        <w:rPr>
          <w:rFonts w:ascii="Times New Roman" w:hAnsi="Times New Roman" w:cs="Times New Roman" w:eastAsia="Times New Roman"/>
          <w:b w:val="0"/>
          <w:i w:val="0"/>
          <w:color w:val="1E1E1E"/>
          <w:sz w:val="24"/>
        </w:rPr>
        <w:t xml:space="preserve"> 2025; 25(2): 218–30.</w:t>
      </w:r>
    </w:p>
    <w:p>
      <w:pPr>
        <w:pStyle w:val="ListNumber"/>
        <w:spacing w:before="40" w:after="60" w:line="276" w:lineRule="auto"/>
        <w:jc w:val="both"/>
      </w:pPr>
      <w:r>
        <w:rPr>
          <w:rFonts w:ascii="Times New Roman" w:hAnsi="Times New Roman" w:cs="Times New Roman" w:eastAsia="Times New Roman"/>
          <w:b w:val="0"/>
          <w:i w:val="0"/>
          <w:color w:val="1E1E1E"/>
          <w:sz w:val="24"/>
        </w:rPr>
        <w:t xml:space="preserve">Kimbrough JH, Maher JM, Sader HS, Castanheira M, Mendes RE. In vitro activity assessment of cefiderocol against Enterobacterales, Pseudomonas aeruginosa, and Acinetobacter spp., including beta-lactam nonsusceptible molecularly characterized isolates. </w:t>
      </w:r>
      <w:r>
        <w:rPr>
          <w:rFonts w:ascii="Times New Roman" w:hAnsi="Times New Roman" w:cs="Times New Roman" w:eastAsia="Times New Roman"/>
          <w:b w:val="0"/>
          <w:i/>
          <w:color w:val="1E1E1E"/>
          <w:sz w:val="24"/>
        </w:rPr>
        <w:t>Microbiol Spectr</w:t>
      </w:r>
      <w:r>
        <w:rPr>
          <w:rFonts w:ascii="Times New Roman" w:hAnsi="Times New Roman" w:cs="Times New Roman" w:eastAsia="Times New Roman"/>
          <w:b w:val="0"/>
          <w:i w:val="0"/>
          <w:color w:val="1E1E1E"/>
          <w:sz w:val="24"/>
        </w:rPr>
        <w:t xml:space="preserve"> 2024; 12(11): e0147424.</w:t>
      </w:r>
    </w:p>
    <w:p>
      <w:pPr>
        <w:pStyle w:val="ListNumber"/>
        <w:spacing w:before="40" w:after="60" w:line="276" w:lineRule="auto"/>
        <w:jc w:val="both"/>
      </w:pPr>
      <w:r>
        <w:rPr>
          <w:rFonts w:ascii="Times New Roman" w:hAnsi="Times New Roman" w:cs="Times New Roman" w:eastAsia="Times New Roman"/>
          <w:b w:val="0"/>
          <w:i w:val="0"/>
          <w:color w:val="1E1E1E"/>
          <w:sz w:val="24"/>
        </w:rPr>
        <w:t xml:space="preserve">Falcone M, Daikos GL, Tiseo G, et al. Efficacy of Ceftazidime-avibactam Plus Aztreonam in Patients With Bloodstream Infections Caused by Metallo-beta-lactamase-Producing Enterobacterales. </w:t>
      </w:r>
      <w:r>
        <w:rPr>
          <w:rFonts w:ascii="Times New Roman" w:hAnsi="Times New Roman" w:cs="Times New Roman" w:eastAsia="Times New Roman"/>
          <w:b w:val="0"/>
          <w:i/>
          <w:color w:val="1E1E1E"/>
          <w:sz w:val="24"/>
        </w:rPr>
        <w:t>Clin Infect Dis</w:t>
      </w:r>
      <w:r>
        <w:rPr>
          <w:rFonts w:ascii="Times New Roman" w:hAnsi="Times New Roman" w:cs="Times New Roman" w:eastAsia="Times New Roman"/>
          <w:b w:val="0"/>
          <w:i w:val="0"/>
          <w:color w:val="1E1E1E"/>
          <w:sz w:val="24"/>
        </w:rPr>
        <w:t xml:space="preserve"> 2021; 72(11): 1871–8.</w:t>
      </w:r>
    </w:p>
    <w:p>
      <w:pPr>
        <w:pStyle w:val="ListNumber"/>
        <w:spacing w:before="40" w:after="60" w:line="276" w:lineRule="auto"/>
        <w:jc w:val="both"/>
      </w:pPr>
      <w:r>
        <w:rPr>
          <w:rFonts w:ascii="Times New Roman" w:hAnsi="Times New Roman" w:cs="Times New Roman" w:eastAsia="Times New Roman"/>
          <w:b w:val="0"/>
          <w:i w:val="0"/>
          <w:color w:val="1E1E1E"/>
          <w:sz w:val="24"/>
        </w:rPr>
        <w:t xml:space="preserve">Lodise TP, O'Donnell JN, Raja S, et al. Safety of Ceftazidime-Avibactam in Combination with Aztreonam (COMBINE) in a Phase I, Open-Label Study in Healthy Adult Volunteers. </w:t>
      </w:r>
      <w:r>
        <w:rPr>
          <w:rFonts w:ascii="Times New Roman" w:hAnsi="Times New Roman" w:cs="Times New Roman" w:eastAsia="Times New Roman"/>
          <w:b w:val="0"/>
          <w:i/>
          <w:color w:val="1E1E1E"/>
          <w:sz w:val="24"/>
        </w:rPr>
        <w:t>Antimicrob Agents Chemother</w:t>
      </w:r>
      <w:r>
        <w:rPr>
          <w:rFonts w:ascii="Times New Roman" w:hAnsi="Times New Roman" w:cs="Times New Roman" w:eastAsia="Times New Roman"/>
          <w:b w:val="0"/>
          <w:i w:val="0"/>
          <w:color w:val="1E1E1E"/>
          <w:sz w:val="24"/>
        </w:rPr>
        <w:t xml:space="preserve"> 2022; 66(12): e0093522.</w:t>
      </w:r>
    </w:p>
    <w:p>
      <w:pPr>
        <w:pStyle w:val="ListNumber"/>
        <w:spacing w:before="40" w:after="60" w:line="276" w:lineRule="auto"/>
        <w:jc w:val="both"/>
      </w:pPr>
      <w:r>
        <w:rPr>
          <w:rFonts w:ascii="Times New Roman" w:hAnsi="Times New Roman" w:cs="Times New Roman" w:eastAsia="Times New Roman"/>
          <w:b w:val="0"/>
          <w:i w:val="0"/>
          <w:color w:val="1E1E1E"/>
          <w:sz w:val="24"/>
        </w:rPr>
        <w:t xml:space="preserve">Nakae T, Nakajima A, Ono T, Saito K, Yoneyama H. Resistance to beta-lactam antibiotics in Pseudomonas aeruginosa due to interplay between the MexAB-OprM efflux pump and beta-lactamase. </w:t>
      </w:r>
      <w:r>
        <w:rPr>
          <w:rFonts w:ascii="Times New Roman" w:hAnsi="Times New Roman" w:cs="Times New Roman" w:eastAsia="Times New Roman"/>
          <w:b w:val="0"/>
          <w:i/>
          <w:color w:val="1E1E1E"/>
          <w:sz w:val="24"/>
        </w:rPr>
        <w:t>Antimicrob Agents Chemother</w:t>
      </w:r>
      <w:r>
        <w:rPr>
          <w:rFonts w:ascii="Times New Roman" w:hAnsi="Times New Roman" w:cs="Times New Roman" w:eastAsia="Times New Roman"/>
          <w:b w:val="0"/>
          <w:i w:val="0"/>
          <w:color w:val="1E1E1E"/>
          <w:sz w:val="24"/>
        </w:rPr>
        <w:t xml:space="preserve"> 1999; 43(5): 1301–3.</w:t>
      </w:r>
    </w:p>
    <w:p>
      <w:pPr>
        <w:pStyle w:val="ListNumber"/>
        <w:spacing w:before="40" w:after="60" w:line="276" w:lineRule="auto"/>
        <w:jc w:val="both"/>
      </w:pPr>
      <w:r>
        <w:rPr>
          <w:rFonts w:ascii="Times New Roman" w:hAnsi="Times New Roman" w:cs="Times New Roman" w:eastAsia="Times New Roman"/>
          <w:b w:val="0"/>
          <w:i w:val="0"/>
          <w:color w:val="1E1E1E"/>
          <w:sz w:val="24"/>
        </w:rPr>
        <w:t xml:space="preserve">Simner PJ, Bergman Y, Conzemius R, et al. An NDM-Producing Escherichia coli Clinical Isolate Exhibiting Resistance to Cefiderocol and the Combination of Ceftazidime-Avibactam and Aztreonam: Another Step Toward Pan-beta-Lactam Resistance. </w:t>
      </w:r>
      <w:r>
        <w:rPr>
          <w:rFonts w:ascii="Times New Roman" w:hAnsi="Times New Roman" w:cs="Times New Roman" w:eastAsia="Times New Roman"/>
          <w:b w:val="0"/>
          <w:i/>
          <w:color w:val="1E1E1E"/>
          <w:sz w:val="24"/>
        </w:rPr>
        <w:t>Open Forum Infect Dis</w:t>
      </w:r>
      <w:r>
        <w:rPr>
          <w:rFonts w:ascii="Times New Roman" w:hAnsi="Times New Roman" w:cs="Times New Roman" w:eastAsia="Times New Roman"/>
          <w:b w:val="0"/>
          <w:i w:val="0"/>
          <w:color w:val="1E1E1E"/>
          <w:sz w:val="24"/>
        </w:rPr>
        <w:t xml:space="preserve"> 2023; 10(7): ofad276.</w:t>
      </w:r>
    </w:p>
    <w:p>
      <w:pPr>
        <w:pStyle w:val="ListNumber"/>
        <w:spacing w:before="40" w:after="60" w:line="276" w:lineRule="auto"/>
        <w:jc w:val="both"/>
      </w:pPr>
      <w:r>
        <w:rPr>
          <w:rFonts w:ascii="Times New Roman" w:hAnsi="Times New Roman" w:cs="Times New Roman" w:eastAsia="Times New Roman"/>
          <w:b w:val="0"/>
          <w:i w:val="0"/>
          <w:color w:val="1E1E1E"/>
          <w:sz w:val="24"/>
        </w:rPr>
        <w:t xml:space="preserve">Deshpande LM, Doyle TB, Sader HS, Castanheira M. Activity of aztreonam-avibactam and ceftazidime-avibactam against beta-lactamase-producing enterobacterales Isolates from United States hospitals. </w:t>
      </w:r>
      <w:r>
        <w:rPr>
          <w:rFonts w:ascii="Times New Roman" w:hAnsi="Times New Roman" w:cs="Times New Roman" w:eastAsia="Times New Roman"/>
          <w:b w:val="0"/>
          <w:i/>
          <w:color w:val="1E1E1E"/>
          <w:sz w:val="24"/>
        </w:rPr>
        <w:t>J Glob Antimicrob Resist</w:t>
      </w:r>
      <w:r>
        <w:rPr>
          <w:rFonts w:ascii="Times New Roman" w:hAnsi="Times New Roman" w:cs="Times New Roman" w:eastAsia="Times New Roman"/>
          <w:b w:val="0"/>
          <w:i w:val="0"/>
          <w:color w:val="1E1E1E"/>
          <w:sz w:val="24"/>
        </w:rPr>
        <w:t xml:space="preserve"> 2025; 44: 103–10.</w:t>
      </w:r>
    </w:p>
    <w:p>
      <w:pPr>
        <w:pStyle w:val="ListNumber"/>
        <w:spacing w:before="40" w:after="60" w:line="276" w:lineRule="auto"/>
        <w:jc w:val="both"/>
      </w:pPr>
      <w:r>
        <w:rPr>
          <w:rFonts w:ascii="Times New Roman" w:hAnsi="Times New Roman" w:cs="Times New Roman" w:eastAsia="Times New Roman"/>
          <w:b w:val="0"/>
          <w:i w:val="0"/>
          <w:color w:val="1E1E1E"/>
          <w:sz w:val="24"/>
        </w:rPr>
        <w:t xml:space="preserve">Daikos GL, Cisneros JM, Carmeli Y, et al. Aztreonam-avibactam for the treatment of serious infections caused by metallo-beta-lactamase-producing Gram-negative pathogens: a Phase 3 randomized trial (ASSEMBLE). </w:t>
      </w:r>
      <w:r>
        <w:rPr>
          <w:rFonts w:ascii="Times New Roman" w:hAnsi="Times New Roman" w:cs="Times New Roman" w:eastAsia="Times New Roman"/>
          <w:b w:val="0"/>
          <w:i/>
          <w:color w:val="1E1E1E"/>
          <w:sz w:val="24"/>
        </w:rPr>
        <w:t>JAC Antimicrob Resist</w:t>
      </w:r>
      <w:r>
        <w:rPr>
          <w:rFonts w:ascii="Times New Roman" w:hAnsi="Times New Roman" w:cs="Times New Roman" w:eastAsia="Times New Roman"/>
          <w:b w:val="0"/>
          <w:i w:val="0"/>
          <w:color w:val="1E1E1E"/>
          <w:sz w:val="24"/>
        </w:rPr>
        <w:t xml:space="preserve"> 2025; 7(4): dlaf131.</w:t>
      </w:r>
    </w:p>
    <w:p>
      <w:pPr>
        <w:pStyle w:val="ListNumber"/>
        <w:spacing w:before="40" w:after="60" w:line="276" w:lineRule="auto"/>
        <w:jc w:val="both"/>
      </w:pPr>
      <w:r>
        <w:rPr>
          <w:rFonts w:ascii="Times New Roman" w:hAnsi="Times New Roman" w:cs="Times New Roman" w:eastAsia="Times New Roman"/>
          <w:b w:val="0"/>
          <w:i w:val="0"/>
          <w:color w:val="1E1E1E"/>
          <w:sz w:val="24"/>
        </w:rPr>
        <w:t xml:space="preserve">Timsit JF, Paul M, Shields RK, et al. Cefiderocol for the Treatment of Infections Due to Metallo-B-lactamase-Producing Pathogens in the CREDIBLE-CR and APEKS-NP Phase 3 Randomized Studies. </w:t>
      </w:r>
      <w:r>
        <w:rPr>
          <w:rFonts w:ascii="Times New Roman" w:hAnsi="Times New Roman" w:cs="Times New Roman" w:eastAsia="Times New Roman"/>
          <w:b w:val="0"/>
          <w:i/>
          <w:color w:val="1E1E1E"/>
          <w:sz w:val="24"/>
        </w:rPr>
        <w:t>Clin Infect Dis</w:t>
      </w:r>
      <w:r>
        <w:rPr>
          <w:rFonts w:ascii="Times New Roman" w:hAnsi="Times New Roman" w:cs="Times New Roman" w:eastAsia="Times New Roman"/>
          <w:b w:val="0"/>
          <w:i w:val="0"/>
          <w:color w:val="1E1E1E"/>
          <w:sz w:val="24"/>
        </w:rPr>
        <w:t xml:space="preserve"> 2022; 75(6): 1081–4.</w:t>
      </w:r>
    </w:p>
    <w:p>
      <w:pPr>
        <w:pStyle w:val="ListNumber"/>
        <w:spacing w:before="40" w:after="60" w:line="276" w:lineRule="auto"/>
        <w:jc w:val="both"/>
      </w:pPr>
      <w:r>
        <w:rPr>
          <w:rFonts w:ascii="Times New Roman" w:hAnsi="Times New Roman" w:cs="Times New Roman" w:eastAsia="Times New Roman"/>
          <w:b w:val="0"/>
          <w:i w:val="0"/>
          <w:color w:val="1E1E1E"/>
          <w:sz w:val="24"/>
        </w:rPr>
        <w:t xml:space="preserve">Paterson DL, Sulaiman H, Liu PY, et al. Cefiderocol versus standard therapy for hospital-acquired and health-care-associated Gram-negative bacterial bloodstream infection (the GAME CHANGER trial). </w:t>
      </w:r>
      <w:r>
        <w:rPr>
          <w:rFonts w:ascii="Times New Roman" w:hAnsi="Times New Roman" w:cs="Times New Roman" w:eastAsia="Times New Roman"/>
          <w:b w:val="0"/>
          <w:i/>
          <w:color w:val="1E1E1E"/>
          <w:sz w:val="24"/>
        </w:rPr>
        <w:t>Lancet Infect Dis</w:t>
      </w:r>
      <w:r>
        <w:rPr>
          <w:rFonts w:ascii="Times New Roman" w:hAnsi="Times New Roman" w:cs="Times New Roman" w:eastAsia="Times New Roman"/>
          <w:b w:val="0"/>
          <w:i w:val="0"/>
          <w:color w:val="1E1E1E"/>
          <w:sz w:val="24"/>
        </w:rPr>
        <w:t xml:space="preserve"> 2026; 26(2): 148–59.</w:t>
      </w:r>
    </w:p>
    <w:p>
      <w:pPr>
        <w:pStyle w:val="ListNumber"/>
        <w:spacing w:before="40" w:after="60" w:line="276" w:lineRule="auto"/>
        <w:jc w:val="both"/>
      </w:pPr>
      <w:r>
        <w:rPr>
          <w:rFonts w:ascii="Times New Roman" w:hAnsi="Times New Roman" w:cs="Times New Roman" w:eastAsia="Times New Roman"/>
          <w:b w:val="0"/>
          <w:i w:val="0"/>
          <w:color w:val="1E1E1E"/>
          <w:sz w:val="24"/>
        </w:rPr>
        <w:t xml:space="preserve">Tamma PD, Lodise TP, Mojica MF, Perez F, Bonomo RA. Revisiting REVISIT: The Case for Ceftazidime/Avibactam Plus Aztreonam. </w:t>
      </w:r>
      <w:r>
        <w:rPr>
          <w:rFonts w:ascii="Times New Roman" w:hAnsi="Times New Roman" w:cs="Times New Roman" w:eastAsia="Times New Roman"/>
          <w:b w:val="0"/>
          <w:i/>
          <w:color w:val="1E1E1E"/>
          <w:sz w:val="24"/>
        </w:rPr>
        <w:t>Clin Infect Dis</w:t>
      </w:r>
      <w:r>
        <w:rPr>
          <w:rFonts w:ascii="Times New Roman" w:hAnsi="Times New Roman" w:cs="Times New Roman" w:eastAsia="Times New Roman"/>
          <w:b w:val="0"/>
          <w:i w:val="0"/>
          <w:color w:val="1E1E1E"/>
          <w:sz w:val="24"/>
        </w:rPr>
        <w:t xml:space="preserve"> 2025; 81(4): e241–e2.</w:t>
      </w:r>
    </w:p>
    <w:p>
      <w:pPr>
        <w:pStyle w:val="ListNumber"/>
        <w:spacing w:before="40" w:after="60" w:line="276" w:lineRule="auto"/>
        <w:jc w:val="both"/>
      </w:pPr>
      <w:r>
        <w:rPr>
          <w:rFonts w:ascii="Times New Roman" w:hAnsi="Times New Roman" w:cs="Times New Roman" w:eastAsia="Times New Roman"/>
          <w:b w:val="0"/>
          <w:i w:val="0"/>
          <w:color w:val="1E1E1E"/>
          <w:sz w:val="24"/>
        </w:rPr>
        <w:t xml:space="preserve">Falcone M, Giordano C, Leonildi A, et al. Clinical Features and Outcomes of Infections Caused by Metallo-beta-Lactamase-Producing Enterobacterales: A 3-Year Prospective Study From an Endemic Area. </w:t>
      </w:r>
      <w:r>
        <w:rPr>
          <w:rFonts w:ascii="Times New Roman" w:hAnsi="Times New Roman" w:cs="Times New Roman" w:eastAsia="Times New Roman"/>
          <w:b w:val="0"/>
          <w:i/>
          <w:color w:val="1E1E1E"/>
          <w:sz w:val="24"/>
        </w:rPr>
        <w:t>Clin Infect Dis</w:t>
      </w:r>
      <w:r>
        <w:rPr>
          <w:rFonts w:ascii="Times New Roman" w:hAnsi="Times New Roman" w:cs="Times New Roman" w:eastAsia="Times New Roman"/>
          <w:b w:val="0"/>
          <w:i w:val="0"/>
          <w:color w:val="1E1E1E"/>
          <w:sz w:val="24"/>
        </w:rPr>
        <w:t xml:space="preserve"> 2024; 78(5): 1111–9.</w:t>
      </w:r>
    </w:p>
    <w:p>
      <w:pPr>
        <w:pStyle w:val="ListNumber"/>
        <w:spacing w:before="40" w:after="60" w:line="276" w:lineRule="auto"/>
        <w:jc w:val="both"/>
      </w:pPr>
      <w:r>
        <w:rPr>
          <w:rFonts w:ascii="Times New Roman" w:hAnsi="Times New Roman" w:cs="Times New Roman" w:eastAsia="Times New Roman"/>
          <w:b w:val="0"/>
          <w:i w:val="0"/>
          <w:color w:val="1E1E1E"/>
          <w:sz w:val="24"/>
        </w:rPr>
        <w:t xml:space="preserve">Zhou C, Jin L, Wang Q, et al. Bloodstream Infections Caused by Carbapenem-Resistant Enterobacterales: Risk Factors for Mortality, Antimicrobial Therapy and Treatment Outcomes from a Prospective Multicenter Study. </w:t>
      </w:r>
      <w:r>
        <w:rPr>
          <w:rFonts w:ascii="Times New Roman" w:hAnsi="Times New Roman" w:cs="Times New Roman" w:eastAsia="Times New Roman"/>
          <w:b w:val="0"/>
          <w:i/>
          <w:color w:val="1E1E1E"/>
          <w:sz w:val="24"/>
        </w:rPr>
        <w:t>Infect Drug Resist</w:t>
      </w:r>
      <w:r>
        <w:rPr>
          <w:rFonts w:ascii="Times New Roman" w:hAnsi="Times New Roman" w:cs="Times New Roman" w:eastAsia="Times New Roman"/>
          <w:b w:val="0"/>
          <w:i w:val="0"/>
          <w:color w:val="1E1E1E"/>
          <w:sz w:val="24"/>
        </w:rPr>
        <w:t xml:space="preserve"> 2021; 14: 731–42.</w:t>
      </w:r>
    </w:p>
    <w:p>
      <w:pPr>
        <w:pStyle w:val="ListNumber"/>
        <w:spacing w:before="40" w:after="60" w:line="276" w:lineRule="auto"/>
        <w:jc w:val="both"/>
      </w:pPr>
      <w:r>
        <w:rPr>
          <w:rFonts w:ascii="Times New Roman" w:hAnsi="Times New Roman" w:cs="Times New Roman" w:eastAsia="Times New Roman"/>
          <w:b w:val="0"/>
          <w:i w:val="0"/>
          <w:color w:val="1E1E1E"/>
          <w:sz w:val="24"/>
        </w:rPr>
        <w:t xml:space="preserve">Sempere A, Vinado B, Los-Arcos I, et al. Ceftazidime-Avibactam plus Aztreonam for the Treatment of Infections by VIM-Type-Producing Gram-Negative Bacteria. </w:t>
      </w:r>
      <w:r>
        <w:rPr>
          <w:rFonts w:ascii="Times New Roman" w:hAnsi="Times New Roman" w:cs="Times New Roman" w:eastAsia="Times New Roman"/>
          <w:b w:val="0"/>
          <w:i/>
          <w:color w:val="1E1E1E"/>
          <w:sz w:val="24"/>
        </w:rPr>
        <w:t>Antimicrob Agents Chemother</w:t>
      </w:r>
      <w:r>
        <w:rPr>
          <w:rFonts w:ascii="Times New Roman" w:hAnsi="Times New Roman" w:cs="Times New Roman" w:eastAsia="Times New Roman"/>
          <w:b w:val="0"/>
          <w:i w:val="0"/>
          <w:color w:val="1E1E1E"/>
          <w:sz w:val="24"/>
        </w:rPr>
        <w:t xml:space="preserve"> 2022; 66(10): e0075122.</w:t>
      </w:r>
    </w:p>
    <w:p>
      <w:pPr>
        <w:pStyle w:val="ListNumber"/>
        <w:spacing w:before="40" w:after="60" w:line="276" w:lineRule="auto"/>
        <w:jc w:val="both"/>
      </w:pPr>
      <w:r>
        <w:rPr>
          <w:rFonts w:ascii="Times New Roman" w:hAnsi="Times New Roman" w:cs="Times New Roman" w:eastAsia="Times New Roman"/>
          <w:b w:val="0"/>
          <w:i w:val="0"/>
          <w:color w:val="1E1E1E"/>
          <w:sz w:val="24"/>
        </w:rPr>
        <w:t xml:space="preserve">Livermore DM, Mushtaq S, Vickers A, Woodford N. Activity of aztreonam/avibactam against metallo-beta-lactamase-producing Enterobacterales from the UK: Impact of penicillin-binding protein-3 inserts and CMY-42 beta-lactamase in Escherichia coli. </w:t>
      </w:r>
      <w:r>
        <w:rPr>
          <w:rFonts w:ascii="Times New Roman" w:hAnsi="Times New Roman" w:cs="Times New Roman" w:eastAsia="Times New Roman"/>
          <w:b w:val="0"/>
          <w:i/>
          <w:color w:val="1E1E1E"/>
          <w:sz w:val="24"/>
        </w:rPr>
        <w:t>Int J Antimicrob Agents</w:t>
      </w:r>
      <w:r>
        <w:rPr>
          <w:rFonts w:ascii="Times New Roman" w:hAnsi="Times New Roman" w:cs="Times New Roman" w:eastAsia="Times New Roman"/>
          <w:b w:val="0"/>
          <w:i w:val="0"/>
          <w:color w:val="1E1E1E"/>
          <w:sz w:val="24"/>
        </w:rPr>
        <w:t xml:space="preserve"> 2023; 61(5): 106776.</w:t>
      </w:r>
    </w:p>
    <w:p>
      <w:pPr>
        <w:pStyle w:val="ListNumber"/>
        <w:spacing w:before="40" w:after="60" w:line="276" w:lineRule="auto"/>
        <w:jc w:val="both"/>
      </w:pPr>
      <w:r>
        <w:rPr>
          <w:rFonts w:ascii="Times New Roman" w:hAnsi="Times New Roman" w:cs="Times New Roman" w:eastAsia="Times New Roman"/>
          <w:b w:val="0"/>
          <w:i w:val="0"/>
          <w:color w:val="1E1E1E"/>
          <w:sz w:val="24"/>
        </w:rPr>
        <w:t xml:space="preserve">Eklund E, Maruca T, Kruczynski K, et al. High in vitro activity of aztreonam/avibactam against NDM-producing Enterobacterales with emerging resistance in Escherichia coli in the United States Mid-Atlantic region. </w:t>
      </w:r>
      <w:r>
        <w:rPr>
          <w:rFonts w:ascii="Times New Roman" w:hAnsi="Times New Roman" w:cs="Times New Roman" w:eastAsia="Times New Roman"/>
          <w:b w:val="0"/>
          <w:i/>
          <w:color w:val="1E1E1E"/>
          <w:sz w:val="24"/>
        </w:rPr>
        <w:t>Microbiol Spectr</w:t>
      </w:r>
      <w:r>
        <w:rPr>
          <w:rFonts w:ascii="Times New Roman" w:hAnsi="Times New Roman" w:cs="Times New Roman" w:eastAsia="Times New Roman"/>
          <w:b w:val="0"/>
          <w:i w:val="0"/>
          <w:color w:val="1E1E1E"/>
          <w:sz w:val="24"/>
        </w:rPr>
        <w:t xml:space="preserve"> 2026: e0397125.</w:t>
      </w:r>
    </w:p>
    <w:p>
      <w:pPr>
        <w:pStyle w:val="ListNumber"/>
        <w:spacing w:before="40" w:after="60" w:line="276" w:lineRule="auto"/>
        <w:jc w:val="both"/>
      </w:pPr>
      <w:r>
        <w:rPr>
          <w:rFonts w:ascii="Times New Roman" w:hAnsi="Times New Roman" w:cs="Times New Roman" w:eastAsia="Times New Roman"/>
          <w:b w:val="0"/>
          <w:i w:val="0"/>
          <w:color w:val="1E1E1E"/>
          <w:sz w:val="24"/>
        </w:rPr>
        <w:t xml:space="preserve">Soto CL, Hsu AJ, Lee JH, et al. Identifying Effective Durations of Antibiotic Therapy for the Treatment of Carbapenem-resistant Enterobacterales Bloodstream Infections: A Multicenter Observational Study. </w:t>
      </w:r>
      <w:r>
        <w:rPr>
          <w:rFonts w:ascii="Times New Roman" w:hAnsi="Times New Roman" w:cs="Times New Roman" w:eastAsia="Times New Roman"/>
          <w:b w:val="0"/>
          <w:i/>
          <w:color w:val="1E1E1E"/>
          <w:sz w:val="24"/>
        </w:rPr>
        <w:t>Clin Infect Dis</w:t>
      </w:r>
      <w:r>
        <w:rPr>
          <w:rFonts w:ascii="Times New Roman" w:hAnsi="Times New Roman" w:cs="Times New Roman" w:eastAsia="Times New Roman"/>
          <w:b w:val="0"/>
          <w:i w:val="0"/>
          <w:color w:val="1E1E1E"/>
          <w:sz w:val="24"/>
        </w:rPr>
        <w:t xml:space="preserve"> 2024; 78(1): 27–30.</w:t>
      </w:r>
    </w:p>
    <w:sectPr w:rsidR="00FC693F" w:rsidRPr="0006063C" w:rsidSect="00034616">
      <w:pgSz w:w="11906" w:h="16838"/>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232323"/>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