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Federal Cornerstone Bill</w:t>
      </w:r>
    </w:p>
    <w:p>
      <w:pPr>
        <w:pStyle w:val="Subtitle"/>
      </w:pPr>
      <w:r>
        <w:t>Cornerstone Livelihood Restoration Act</w:t>
      </w:r>
    </w:p>
    <w:p>
      <w:pPr>
        <w:keepNext/>
      </w:pPr>
      <w:r>
        <w:rPr>
          <w:b/>
        </w:rPr>
        <w:t>A BILL</w:t>
      </w:r>
    </w:p>
    <w:p>
      <w:pPr/>
      <w:r>
        <w:t>To establish a voluntary program of worker-owned commercial opportunities for people directly displaced by deliberate governmental contraction of lawful industries.</w:t>
      </w:r>
    </w:p>
    <w:p>
      <w:pPr/>
      <w:r>
        <w:t>Be it enacted by the Senate and House of Representatives of the United States of America in Congress assembled,</w:t>
      </w:r>
    </w:p>
    <w:p>
      <w:pPr>
        <w:pStyle w:val="Heading1"/>
        <w:keepNext/>
      </w:pPr>
      <w:r>
        <w:t>Section 1 Short title and definitions</w:t>
      </w:r>
    </w:p>
    <w:p>
      <w:pPr/>
      <w:r>
        <w:rPr>
          <w:b/>
        </w:rPr>
        <w:t>(a) SHORT TITLE.—</w:t>
      </w:r>
      <w:r>
        <w:t>This Act may be cited as the “Cornerstone Livelihood Restoration Act”.</w:t>
      </w:r>
    </w:p>
    <w:p>
      <w:pPr/>
      <w:r>
        <w:rPr>
          <w:b/>
        </w:rPr>
        <w:t>(b) DEFINITIONS.—</w:t>
      </w:r>
      <w:r>
        <w:t>In this Act:</w:t>
      </w:r>
    </w:p>
    <w:p>
      <w:pPr>
        <w:ind w:left="317"/>
      </w:pPr>
      <w:r>
        <w:t>(1) “Labor” and “Commerce” mean the Secretary of Labor and Secretary of Commerce, respectively. “State” means a State, the District of Columbia, or a territory or possession of the United States. “Governmental action” means an implemented law, order, regulation, official program, or binding governmental agreement of the United States, a State, or a political subdivision thereof.</w:t>
      </w:r>
    </w:p>
    <w:p>
      <w:pPr>
        <w:ind w:left="317"/>
      </w:pPr>
      <w:r>
        <w:t>(2) “Event” means a deliberate displacement event certified under section 2. “Claim” means an individual's entitlement certified under section 3. “Association” means a Cornerstone Association chartered under section 4. “Founding unit” means the indivisible membership right established by that section.</w:t>
      </w:r>
    </w:p>
    <w:p>
      <w:pPr>
        <w:ind w:left="317"/>
      </w:pPr>
      <w:r>
        <w:t>(3) “Offer” means a State's published proposal satisfying sections 5 through 7. “Compact” means the enforceable agreement resulting from an Exchange match. “Enterprise” means the Association and its subsidiaries, franchises, and other controlled operations exercising the compact right, consolidated to eliminate internal transactions. “Exchange” means the public exchange established under section 5. “Fund” means the fund established under section 8.</w:t>
      </w:r>
    </w:p>
    <w:p>
      <w:pPr>
        <w:pStyle w:val="Heading1"/>
        <w:keepNext/>
      </w:pPr>
      <w:r>
        <w:t>Section 2 Event certification</w:t>
      </w:r>
    </w:p>
    <w:p>
      <w:pPr/>
      <w:r>
        <w:rPr>
          <w:b/>
        </w:rPr>
        <w:t>(a) CRITERIA.—</w:t>
      </w:r>
      <w:r>
        <w:t>Labor shall certify an event upon proof by a preponderance of reliable evidence that:</w:t>
      </w:r>
    </w:p>
    <w:p>
      <w:pPr>
        <w:ind w:left="317"/>
      </w:pPr>
      <w:r>
        <w:t>(1) destruction, suppression, or material contraction of an established lawful industry or identifiable line of work was an express objective of a governmental action, or was deliberately selected as an intended means of achieving another objective;</w:t>
      </w:r>
    </w:p>
    <w:p>
      <w:pPr>
        <w:ind w:left="317"/>
      </w:pPr>
      <w:r>
        <w:t>(2) the government implemented that action; and</w:t>
      </w:r>
    </w:p>
    <w:p>
      <w:pPr>
        <w:ind w:left="317"/>
      </w:pPr>
      <w:r>
        <w:t>(3) the action materially and directly caused, accelerated, or substantially enlarged actual or imminent involuntary separations or destruction of principal livelihoods in an identifiable group.</w:t>
      </w:r>
    </w:p>
    <w:p>
      <w:pPr/>
      <w:r>
        <w:rPr>
          <w:b/>
        </w:rPr>
        <w:t>(b) LIMITS.—</w:t>
      </w:r>
      <w:r>
        <w:t>Institutional intent shall be established from enacted text, official orders, regulations, plans, budgets, findings, or attributable statements of policymakers authorized to adopt or implement the action, considered with contrary evidence. Foreseeability of loss, an official's unaffiliated opinion, or the mere occurrence of loss is insufficient. Personal malice is unnecessary. Labor shall distinguish policy effects from market competition, technology, resource depletion, voluntary business decisions, and other causes; the action need not be the sole cause. Ordinary market change, incidental employment effects, withdrawal or expiration of a subsidy without the required intent, and diffuse regional decline do not qualify. Certification neither invalidates the action nor determines that the government acted unlawfully.</w:t>
      </w:r>
    </w:p>
    <w:p>
      <w:pPr/>
      <w:r>
        <w:rPr>
          <w:b/>
        </w:rPr>
        <w:t>(c) PETITION AND RECORD.—</w:t>
      </w:r>
      <w:r>
        <w:t>Two affected individuals, their authorized representative or union, an affected employer, a State workforce agency, or a governor may petition; Labor may proceed on its own motion. A petition shall identify the action, targeted work, affected group, intent evidence, and attributed losses. Labor shall provide petition assistance; publish a nonconfidential petition and proposed scope; notify identifiable affected governments, employers, and worker representatives; allow at least 60 days for evidence and responses; investigate material disputes; and issue a reasoned decision within 180 days of a substantially complete petition. One extension of not more than 90 days requires public reasons. Labor may require relevant records by subpoena enforceable in United States district court, subject to privilege and applicable privacy law.</w:t>
      </w:r>
    </w:p>
    <w:p>
      <w:pPr/>
      <w:r>
        <w:rPr>
          <w:b/>
        </w:rPr>
        <w:t>(d) FINDINGS.—</w:t>
      </w:r>
      <w:r>
        <w:t>A certification shall identify the action and responsible sovereign; targeted lawful work; covered occupations, worksites or classes of enterprises, and geography; intent and contrary evidence; direct causal mechanism; causal period; first proven attributable separation date; and acceptable individual proof. A supported common factual finding may create a rebuttable inference for matching work and separations within that period, but shall not dispense with individual proof under section 3. Imminent separations shall be identified separately and shall not establish an earlier priority date than actual loss. Labor shall consolidate overlapping actions causing the same loss and distinguish incremental losses from separate actions.</w:t>
      </w:r>
    </w:p>
    <w:p>
      <w:pPr/>
      <w:r>
        <w:rPr>
          <w:b/>
        </w:rPr>
        <w:t>(e) OPEN REGISTER.—</w:t>
      </w:r>
      <w:r>
        <w:t>Labor shall maintain a public register of petitions, findings, amendments, and dispositions. Any historical or unlisted action may be petitioned; age alone is no bar, and reliable archival or comparable evidence is admissible. A census, research register, workforce estimate, prior benefit award, or judicial decision under a different legal standard creates no certification, presumption of eligibility, or cause of action under this Act. Labor may amend scope on new evidence through the same notice and findings procedure.</w:t>
      </w:r>
    </w:p>
    <w:p>
      <w:pPr>
        <w:pStyle w:val="Heading1"/>
        <w:keepNext/>
      </w:pPr>
      <w:r>
        <w:t>Section 3 Individual claims</w:t>
      </w:r>
    </w:p>
    <w:p>
      <w:pPr/>
      <w:r>
        <w:rPr>
          <w:b/>
        </w:rPr>
        <w:t>(a) ELIGIBILITY.—</w:t>
      </w:r>
      <w:r>
        <w:t>Labor shall certify an individual who proves by a preponderance of reliable evidence that the individual performed covered lawful work as an employee, independent worker, or working owner-operator; obtained a principal livelihood from it; and suffered an attributable total or substantial involuntary separation, forced early retirement, business cancellation, or destruction of that livelihood within the certified causal period. A principal livelihood means work providing more than half of earned income or at least 1,000 hours during the last representative 12-month period before the action began reducing that work. Earned income includes wages and net self-employment income, not passive investment income or public benefits. A different representative period requires documented seasonal or action-caused distortion of the immediately preceding period.</w:t>
      </w:r>
    </w:p>
    <w:p>
      <w:pPr/>
      <w:r>
        <w:rPr>
          <w:b/>
        </w:rPr>
        <w:t>(b) DIRECTNESS.—</w:t>
      </w:r>
      <w:r>
        <w:t>Substantial separation means a material loss of established covered work, assessed from its duration, hours, and earned income against the pre-action baseline; a compliance expense or lost prospect alone is insufficient. Loss of a primary job may qualify although part-time work remains. A direct supplier or contractor, or its worker, qualifies only if the action intentionally encompassed that line of work or the targeted facility or industry accounted for more than half of the person's covered work by earned income or hours, and a direct supply or service relationship and the policy-caused loss are proven. Each person must independently meet subsection (a). Passive owners and persons showing only regional decline or indirect customer loss are ineligible.</w:t>
      </w:r>
    </w:p>
    <w:p>
      <w:pPr/>
      <w:r>
        <w:rPr>
          <w:b/>
        </w:rPr>
        <w:t>(c) CONTINUING RIGHTS.—</w:t>
      </w:r>
      <w:r>
        <w:t>Later employment, relocation, pensions, severance, unemployment insurance, or ordinary transition assistance shall not erase or reduce a claim. Labor shall record prior compensation and releases and distinguish duplicate claims for the same loss; it shall not convert these benefits into a monetary offset against a founding unit. No person may receive duplicate Cornerstone restoration for the same destroyed livelihood. Constitutional prohibitions, including section 4 of the Fourteenth Amendment, remain controlling.</w:t>
      </w:r>
    </w:p>
    <w:p>
      <w:pPr/>
      <w:r>
        <w:rPr>
          <w:b/>
        </w:rPr>
        <w:t>(d) FILING AND DECISION.—</w:t>
      </w:r>
      <w:r>
        <w:t>Applications shall be filed within two years after publication of the applicable certification or scope amendment, or actual separation, whichever is later. Labor shall provide direct notice where reasonably practicable and extend the period for lack of adequate notice, incapacity, agency error, or comparable inability to file despite reasonable diligence. Employment, tax, union, licensing, contract, archival, and other corroborated records may establish a claim. Labor shall decide within 90 days of a complete application, state findings and review rights, disclose adverse evidence subject to lawful protection, and afford an impartial hearing on disputed material facts upon a request filed within 60 days after notice, subject to the extensions allowed for filing a claim. Identifiable personal records shall remain protected; public findings shall state their evidentiary basis without unnecessary disclosure.</w:t>
      </w:r>
    </w:p>
    <w:p>
      <w:pPr/>
      <w:r>
        <w:rPr>
          <w:b/>
        </w:rPr>
        <w:t>(e) SURVIVAL.—</w:t>
      </w:r>
      <w:r>
        <w:t>A claim survives death and may be proved and exercised by one designated successor or the estate, upon proof of the worker's eligibility and the chain of succession. Neither the claim nor a founding unit divides or multiplies among heirs. Section 4 governs exercise after enrollment.</w:t>
      </w:r>
    </w:p>
    <w:p>
      <w:pPr>
        <w:pStyle w:val="Heading1"/>
        <w:keepNext/>
      </w:pPr>
      <w:r>
        <w:t>Section 4 Cornerstone Associations</w:t>
      </w:r>
    </w:p>
    <w:p>
      <w:pPr/>
      <w:r>
        <w:rPr>
          <w:b/>
        </w:rPr>
        <w:t>(a) FORMATION.—</w:t>
      </w:r>
      <w:r>
        <w:t>Certified claimants may voluntarily form geographically rooted mutual-benefit corporations. Labor shall charter an Association upon filing compliant articles, bylaws, and a verified founding roll. Labor shall publish each founding period's opening date; enrollment shall remain open for 180 days and close before the Association submits rankings or receives rights. A claim may appear on only one founding roll at a time. Later-certified persons may form later Associations; they may not buy into a matched roll. Timely applicants whose eligibility remains under review may elect a cohort, but its roll must be resolved and closed before ranking. An Association shall have at least two and ordinarily no more than 2,500 founding units. Labor may approve a larger body only upon approval by a majority of all founders and written findings that accessible meetings, voting, records, and member deliberation remain practical. Small cohorts may combine across events without extinguishing separate claim identities. No residence qualification may be imposed.</w:t>
      </w:r>
    </w:p>
    <w:p>
      <w:pPr/>
      <w:r>
        <w:rPr>
          <w:b/>
        </w:rPr>
        <w:t>(b) POWERS AND LAW.—</w:t>
      </w:r>
      <w:r>
        <w:t>An Association may contract, hold property, borrow, sue and be sued, form controlled enterprises, and employ managers. It is not a government instrumentality and has no governmental immunity. This section governs its charter; otherwise the generally applicable mutual-benefit or nonprofit corporation law of its principal-office State governs its internal affairs insofar as consistent with this Act, including its express authority to distribute enterprise earnings. It remains subject to ordinary business, tax, securities, insolvency, and employment law.</w:t>
      </w:r>
    </w:p>
    <w:p>
      <w:pPr/>
      <w:r>
        <w:rPr>
          <w:b/>
        </w:rPr>
        <w:t>(c) FOUNDING RIGHTS.—</w:t>
      </w:r>
      <w:r>
        <w:t>Each founder shall receive one founding unit, one equal vote, equal base beneficial ownership, and an equal base share of distributions and residual assets after lawful obligations. A person may exercise only one founding vote in an Association; duplicate or overlapping injury descriptions create no additional unit. Wages and patronage returns may reflect actual work. The members shall elect and remove the governing board. Approval of a majority of all founding units is required for rankings, a compact, material compact amendments, a consortium, merger, or dissolution. Bylaws shall provide accessible remote participation, annual elections, fair notice, and inspection of books, compacts, investor agreements, and independent audits, with lawful privacy protections.</w:t>
      </w:r>
    </w:p>
    <w:p>
      <w:pPr/>
      <w:r>
        <w:rPr>
          <w:b/>
        </w:rPr>
        <w:t>(d) OPPORTUNITY AND VOLUNTARINESS.—</w:t>
      </w:r>
      <w:r>
        <w:t>Members shall receive first opportunity for funded training, qualified employment, and member franchises before equivalent opportunities are offered to nonmembers. Published job-related qualifications and a member-approved neutral allocation rule shall resolve limited capacity; no official may choose favored workers. Nonmembers may fill remaining needs. No member shall be compelled to relocate, retrain, work for the enterprise, contribute personal capital, or assume personal debt. A member may retain voice and ownership while working elsewhere. Declining membership requires an informed written election; no cash substitute is due, and no failure to elect shall be treated as a waiver of unrelated legal rights.</w:t>
      </w:r>
    </w:p>
    <w:p>
      <w:pPr/>
      <w:r>
        <w:rPr>
          <w:b/>
        </w:rPr>
        <w:t>(e) INALIENABILITY AND SUCCESSION.—</w:t>
      </w:r>
      <w:r>
        <w:t>A founding unit and the compact right may not be sold, pledged, divided, or transferred to outsiders. After a member's death, one designated successor, or one estate representative pending designation under uniform bylaws consistent with probate law, shall exercise that unit; no additional votes arise. Training and work priority belongs first to the living injured worker and thereafter to that single successor. The Association shall retain all voting control over the compact and operating companies. Outside capital may receive debt, nonvoting equity, or revenue interests, but no board seat, governance vote, hidden veto, or power to transfer or foreclose on the compact or founding units. Enforcement against otherwise transferable enterprise assets remains lawful. Government shall receive no equity, corporate veto, board seat, or management power.</w:t>
      </w:r>
    </w:p>
    <w:p>
      <w:pPr/>
      <w:r>
        <w:rPr>
          <w:b/>
        </w:rPr>
        <w:t>(f) ENFORCEMENT.—</w:t>
      </w:r>
      <w:r>
        <w:t>These rights bind subsidiaries, franchises, capital agreements, and successors; contrary terms are void. A member may obtain declaratory or equitable relief against the Association or a person violating these rights in a court of competent jurisdiction, including United States district court. The court may award reasonable fees to a prevailing member. No charter amendment or expulsion may confiscate a founding unit; fraudulently obtained eligibility may be rescinded only by Labor after notice, hearing, and findings. Ordinary discipline for employment misconduct does not forfeit membership.</w:t>
      </w:r>
    </w:p>
    <w:p>
      <w:pPr>
        <w:pStyle w:val="Heading1"/>
        <w:keepNext/>
      </w:pPr>
      <w:r>
        <w:t>Section 5 Public Exchange and matching</w:t>
      </w:r>
    </w:p>
    <w:p>
      <w:pPr/>
      <w:r>
        <w:rPr>
          <w:b/>
        </w:rPr>
        <w:t>(a) PUBLICATION.—</w:t>
      </w:r>
      <w:r>
        <w:t>Commerce shall maintain an Exchange publishing certified events, closed Association rolls without private identifiers, offers, matching rules and results, executed compacts, supervision decisions, and audit summaries. An offer shall be complete and remain public for at least 90 days before rankings close. Commerce shall verify statutory completeness, not rank the merits of beneficiaries. Association choices shall remain sealed from officials and competitors until the common deadline; subsequent publication shall permit independent reproduction of the match.</w:t>
      </w:r>
    </w:p>
    <w:p>
      <w:pPr/>
      <w:r>
        <w:rPr>
          <w:b/>
        </w:rPr>
        <w:t>(b) RULE.—</w:t>
      </w:r>
      <w:r>
        <w:t>Before each round, Commerce shall publish all objective readiness requirements, offer capacities, permitted district divisions, deadlines, and the matching algorithm. Each Association shall rank only acceptable offers. A consortium may enter only with approval under section 4, unchanged founding rolls, and compliance with the published offer; each constituent retains its own governance. Associations shall propose to their highest remaining choice; each offer shall provisionally retain the proposer with priority and reject the others to their next choice, repeating until no further proposal is possible. Priority belongs to the oldest still-unremedied certified event represented in the closed founding roll, measured by the event's first proven attributable separation, not certification date. Equal dates shall be ordered by one public, independently witnessed random drawing fixed for that round. Size, wealth, residence, political affiliation, and official preference shall confer no priority.</w:t>
      </w:r>
    </w:p>
    <w:p>
      <w:pPr/>
      <w:r>
        <w:rPr>
          <w:b/>
        </w:rPr>
        <w:t>(c) SCOPE AND FAILURE.—</w:t>
      </w:r>
      <w:r>
        <w:t>A ranking may cover a published bundle of districts only if an independent feasibility finding establishes that a single district cannot support a usable opportunity for the full membership; every district must independently qualify. Each separately allocable district or such bundle is one indivisible offer; offers in the same round may not promise overlapping exclusive rights. Sharing must use divisions or consortium terms published before rankings; no side payment may purchase priority. Negotiations shall conclude within 180 days after matching, with one extension of up to 90 days available on the same published readiness conditions to all matches. A failed negotiation returns the offer to the next willing Association under the original rankings and priorities; the unsuccessful Association proceeds to its next choice. An Association may hold only one active match; successor matches are limited to still-unremedied Associations without another active match. No material offer change is effective without republication and a new ranking round.</w:t>
      </w:r>
    </w:p>
    <w:p>
      <w:pPr/>
      <w:r>
        <w:rPr>
          <w:b/>
        </w:rPr>
        <w:t>(d) DISTINCT PROGRAMS.—</w:t>
      </w:r>
      <w:r>
        <w:t>An offer shall be labeled in advance for Cornerstone, the Garden, or both. This Act creates no Garden eligibility or institution. A joint offer may be matched only under separately enacted Garden authority providing comparable injury dates, the same sealed-choice and age-priority rules, and a published coordination schedule protecting access to offers for both programs. No offer may be relabeled after rankings are received or granted twice; Cornerstone-only offers may proceed independently. A separate Garden entitlement does not disqualify an otherwise eligible person here.</w:t>
      </w:r>
    </w:p>
    <w:p>
      <w:pPr>
        <w:pStyle w:val="Heading1"/>
        <w:keepNext/>
      </w:pPr>
      <w:r>
        <w:t>Section 6 Conditions of recognized State offers and compacts</w:t>
      </w:r>
    </w:p>
    <w:p>
      <w:pPr/>
      <w:r>
        <w:rPr>
          <w:b/>
        </w:rPr>
        <w:t>(a) VOLUNTARY STATE LAW.—</w:t>
      </w:r>
      <w:r>
        <w:t>An offer is eligible only under a voluntarily enacted State enabling law that expressly authorizes displacement of competition in the specified trade and district, satisfies the State constitution and required local or voter approvals, and provides independent public supervision and judicial review. Its public record shall identify the precise prohibition, authority to lift it, district boundaries, neutral technical requirements, regulatory and tax obligations, supervisor, financial rules under subsection (d), and a bounded menu of negotiable commercial terms. No eligibility, membership, hiring, customer, or investor preference based on State residence is permitted.</w:t>
      </w:r>
    </w:p>
    <w:p>
      <w:pPr/>
      <w:r>
        <w:rPr>
          <w:b/>
        </w:rPr>
        <w:t>(b) NO NEW HARM.—</w:t>
      </w:r>
      <w:r>
        <w:t>The trade must be legally closed to every private person in the district when the offer is published and remain so until the compact authorizes entry. A State shall prove, on a public record with notice and an opportunity to object, that the offer takes or impairs no existing lawful job, license, contract, customer relationship, application or queue position, or market, including lawful cross-border supply. Absence of a current operator is insufficient where lawful entry or competition is already available. A prohibition adopted to clear an occupied field for this program cannot establish eligibility. Existing public, tribal, treaty, and property rights shall not be displaced.</w:t>
      </w:r>
    </w:p>
    <w:p>
      <w:pPr/>
      <w:r>
        <w:rPr>
          <w:b/>
        </w:rPr>
        <w:t>(c) COMPACT.—</w:t>
      </w:r>
      <w:r>
        <w:t>A compact shall remain within its published offer and require member approval under section 4. A district shall be geographically bounded within a State; no compact grants national exclusivity. Its initial exclusive term is 30 years from its legally operative date, with one automatic 10-year renewal if beneficiary voting control continues and no uncured material violation is established under the published procedure. No further exclusive renewal is authorized. It shall preserve section 4 rights; define services, launch milestones, and public protections; retain ordinary safety, labor, environmental, consumer, civil-rights, tax, and securities law; and provide audits and review under section 9. Exclusivity ends at expiration, after which ordinary lawful entry shall be available unless a generally applicable legislative policy provides otherwise. General legalization outside the district remains permissible throughout.</w:t>
      </w:r>
    </w:p>
    <w:p>
      <w:pPr/>
      <w:r>
        <w:rPr>
          <w:b/>
        </w:rPr>
        <w:t>(d) STATE SURPLUS SHARE.—</w:t>
      </w:r>
      <w:r>
        <w:t>Every compact shall require a modest, flat percentage of annual positive shareable surplus, payable solely to a dedicated State land-acquisition account. Before offers open, State general law shall enact one positive rate for all offers subject to that law after a public fiscal and feasibility report; no officer may choose, waive, or negotiate an individual rate. The offer and compact shall fix that rate and the common calculation for the initial and renewal terms. Shareable surplus shall protect legitimate expenses, unrecovered operating losses, required Fund payments and nonduplicative debt service, working capital, measurable reserves, necessary replacement, and bounded necessary investment. Published rules shall prescribe numerical limits, documented targets and finite reserve or investment periods, release unused allowances, exclude distributions and artificial related-party expenses, and prevent double deductions or indefinite deferral. No positive shareable surplus means no payment or accrued minimum charge. Verification and a calculation appeal may correct inputs or classifications, not alter the rate or offer terms. This share is separate from the finite Fund obligation and confers no corporate ownership or control.</w:t>
      </w:r>
    </w:p>
    <w:p>
      <w:pPr/>
      <w:r>
        <w:rPr>
          <w:b/>
        </w:rPr>
        <w:t>(e) PUBLIC SUPERVISION.—</w:t>
      </w:r>
      <w:r>
        <w:t>The State legislature shall identify the authorized competitive restraints. A supervisor independent of the Association and active market participants shall examine the substance of material pricing, access, service, safety, and exclusion decisions, and actually exercise authority to approve, modify, or reject them on a reasoned public record. Corporate self-government does not include regulatory power. An independent adjudicator shall decide contested material violations. Revocation is limited to material safety violations, fraud, corruption, loss of beneficiary voting control, or repeated failure to provide required service; notice, hearing, feasible cure, written findings, and judicial review are required. Emergency suspension shall be narrowly tailored to imminent serious harm and followed by a prompt hearing. Actual defeat of beneficiary control terminates the exclusive right upon a final determination, subject to judicial relief; an attempted prohibited transfer is void.</w:t>
      </w:r>
    </w:p>
    <w:p>
      <w:pPr>
        <w:pStyle w:val="Heading1"/>
        <w:keepNext/>
      </w:pPr>
      <w:r>
        <w:t>Section 7 Federal authority and reserved law</w:t>
      </w:r>
    </w:p>
    <w:p>
      <w:pPr/>
      <w:r>
        <w:rPr>
          <w:b/>
        </w:rPr>
        <w:t>(a) FEDERAL PROHIBITIONS.—</w:t>
      </w:r>
      <w:r>
        <w:t>Neither a State compact nor an administrative certificate waives federal law. Before a federally prohibited activity may be ranked on the Exchange, an Act of Congress must expressly authorize the specified Cornerstone activity, identify each displaced federal prohibition, designate its administering regulator, and prescribe the activity, persons, territory, duration, and safeguards covered. The designated regulator shall issue or deny any implementing authorization on those statutory criteria, with public findings and review under section 10. Commerce shall publish the authorization and its limits. No general power to exempt a trade from federal criminal or regulatory law is delegated by this Act.</w:t>
      </w:r>
    </w:p>
    <w:p>
      <w:pPr/>
      <w:r>
        <w:rPr>
          <w:b/>
        </w:rPr>
        <w:t>(b) COMMERCE AND FEDERALISM.—</w:t>
      </w:r>
      <w:r>
        <w:t>Congress expressly consents to the nondiscriminatory regional exclusivity and incidental interstate-commerce effects of compacts satisfying this Act. This consent authorizes no residence discrimination, restraint outside the compacted field, or general exemption from antitrust law. State-action defenses depend on the clearly authorized and actually supervised conduct. This Act does not require a State to participate, offer a trade, change its laws, or administer this program, and conditions no unrelated federal funding on participation. It overrides no State constitutional restriction or tribal authority.</w:t>
      </w:r>
    </w:p>
    <w:p>
      <w:pPr>
        <w:pStyle w:val="Heading1"/>
        <w:keepNext/>
      </w:pPr>
      <w:r>
        <w:t>Section 8 Revolving Founding Fund</w:t>
      </w:r>
    </w:p>
    <w:p>
      <w:pPr/>
      <w:r>
        <w:rPr>
          <w:b/>
        </w:rPr>
        <w:t>(a) ESTABLISHMENT AND USE.—</w:t>
      </w:r>
      <w:r>
        <w:t>The Cornerstone Founding Fund is established in the Treasury and administered by Labor. Subject to subsection (d), it may advance reasonable, documented costs of petition assistance, enrollment, formation, independent feasibility review, legal and accounting preparation, licensing, and member training. It shall not finance ordinary operations, distributions, political activity, or speculative acquisitions. Preformation assistance shall be paid to approved providers through a fiduciary cohort account; an Association subsequently formed shall assume its allocable advance. No individual, successor, or estate shall owe the advance or guarantee repayment. Unsuccessful formation costs shall be reported as unrecovered public costs.</w:t>
      </w:r>
    </w:p>
    <w:p>
      <w:pPr/>
      <w:r>
        <w:rPr>
          <w:b/>
        </w:rPr>
        <w:t>(b) FIXED TERMS.—</w:t>
      </w:r>
      <w:r>
        <w:t>Before commitments, Labor, with Treasury concurrence and independent actuarial advice, shall publish uniform rules fixing per-member and per-cohort cost ceilings, eligible costs, and the calculation of a small flat percentage of quarterly operating receipts and a fixed dollar public return. The calculation shall use documented financing costs, prudent expected losses, and feasible repayment projections over the initial compact term; identical inputs shall yield identical terms. The approved cost cap and method shall be disclosed before ranking; the percentage and maximum total obligation shall be fixed at compact execution. Only actually disbursed principal and the corresponding fixed return may be collected. No compounding, open-ended revenue interest, personal guarantee, or pledge of voting control is permitted.</w:t>
      </w:r>
    </w:p>
    <w:p>
      <w:pPr/>
      <w:r>
        <w:rPr>
          <w:b/>
        </w:rPr>
        <w:t>(c) REPAYMENT.—</w:t>
      </w:r>
      <w:r>
        <w:t>From first operating revenue, the Enterprise shall remit the fixed percentage of receipts, excluding financing proceeds, refunds, and taxes collected for government, until disbursed principal and its fixed public return are paid. The final remittance shall be reduced to the remaining balance. Labor shall then release the obligation permanently; no renewal or State surplus payment revives it. Collection is limited to enterprise revenues and otherwise transferable assets, subject to insolvency law. Receipts shall be credited to the Fund for further advances; losses shall be recognized rather than charged to members or concealed by refinancing.</w:t>
      </w:r>
    </w:p>
    <w:p>
      <w:pPr/>
      <w:r>
        <w:rPr>
          <w:b/>
        </w:rPr>
        <w:t>(d) BUDGET.—</w:t>
      </w:r>
      <w:r>
        <w:t>There are authorized to be appropriated such sums as necessary for administration and Fund costs. Obligations are limited to available budget authority. Advances shall be budgeted and administered consistently with the Federal Credit Reform Act of 1990, including advance appropriations or limitations required by 2 U.S.C. 661c; retained collections do not dispense with those requirements. No federal or State guarantee of private capital, profit, or full public recovery is created. Labor shall report annually on advances, collections, defaults, subsidy estimates, and administrative costs.</w:t>
      </w:r>
    </w:p>
    <w:p>
      <w:pPr>
        <w:pStyle w:val="Heading1"/>
        <w:keepNext/>
      </w:pPr>
      <w:r>
        <w:t>Section 9 Delivery and accountability</w:t>
      </w:r>
    </w:p>
    <w:p>
      <w:pPr/>
      <w:r>
        <w:rPr>
          <w:b/>
        </w:rPr>
        <w:t>(a) USABLE RESTORATION.—</w:t>
      </w:r>
      <w:r>
        <w:t>Labor shall issue a provisional restoration finding only upon written findings that its Association has an enforceable compact, all legally effective authorizations, an independent feasibility review showing a commercially usable opportunity, funded access to member training, and a lawful path to private capital. Labor shall mark the claim remedied when adequate financing is secured and operations begin. If capital cannot be secured before the published launch deadline, the Association has one opportunity to revise its plan within the offer or return to the Exchange without losing claims or original priority. A second preopening failure leaves claims open but creates no automatic right to another advance. Ordinary commercial failure after a properly authorized and financed launch does not reopen claims. Governmental withdrawal, judicial invalidation, or other governmental defeat of the compact right shall reopen affected claims upon Labor findings on the final action or judgment, except lawful enforcement for the Association's material violation. Ordinary changes in costs or demand do not alone establish such defeat. No duplicate Fund advance follows automatically.</w:t>
      </w:r>
    </w:p>
    <w:p>
      <w:pPr/>
      <w:r>
        <w:rPr>
          <w:b/>
        </w:rPr>
        <w:t>(b) SAFEGUARDS.—</w:t>
      </w:r>
      <w:r>
        <w:t>Associations shall obtain annual independent financial and beneficiary-control audits and disclose compacts, material investor rights, beneficial ownership, and audit summaries on the Exchange. Regulators and members shall have access to underlying records subject to lawful privacy protections. Associations and controlled entities shall make no political contribution to an official or candidate for an office supervising their compact; this restriction does not bar members' personal political activity. Decisionmakers shall disclose conflicts and recuse; for two years after personally and substantially deciding a compact matter, they shall not accept compensated work from its Association or investors concerning that matter. Existing, more protective ethics laws remain applicable.</w:t>
      </w:r>
    </w:p>
    <w:p>
      <w:pPr>
        <w:pStyle w:val="Heading1"/>
        <w:keepNext/>
      </w:pPr>
      <w:r>
        <w:t>Section 10 Administration and review</w:t>
      </w:r>
    </w:p>
    <w:p>
      <w:pPr/>
      <w:r>
        <w:rPr>
          <w:b/>
        </w:rPr>
        <w:t>(a) RULES.—</w:t>
      </w:r>
      <w:r>
        <w:t>Within one year after enactment, Labor and Commerce, each within its assigned duties and after public notice and comment, shall issue rules necessary to administer this Act. Rules shall supply forms, record protection, impartial hearing procedures, and implementation details without enlarging eligibility or changing the statutory priorities. Substantive determinations shall be supported by the record and written reasons; adverse changes require notice and an opportunity to respond.</w:t>
      </w:r>
    </w:p>
    <w:p>
      <w:pPr/>
      <w:r>
        <w:rPr>
          <w:b/>
        </w:rPr>
        <w:t>(b) REVIEW.—</w:t>
      </w:r>
      <w:r>
        <w:t>Final federal certification, eligibility, charter, matching, Fund, authorization, and restoration decisions are reviewable by an adversely affected person under chapter 7 of title 5, United States Code, in the appropriate United States district court. No mandatory administrative appeal is required beyond a timely requested hearing under section 3(d); that hearing decision is final. Courts shall independently decide questions of law and may compel unlawfully withheld or unreasonably delayed action. Existing statutory review routes govern permits issued under other laws unless their authorizing Act provides otherwise. State decisions remain subject to the State's review procedure and otherwise available federal jurisdiction.</w:t>
      </w:r>
    </w:p>
    <w:p>
      <w:pPr/>
      <w:r>
        <w:rPr>
          <w:b/>
        </w:rPr>
        <w:t>(c) CONSTRUCTION.—</w:t>
      </w:r>
      <w:r>
        <w:t>This Act creates a prospective statutory program, including for proven historical injuries. It creates no damages claim for an original displacement, admission of preexisting governmental liability, waiver of unrelated claims, entitlement to a particular State offer, or guarantee of business success. Existing constitutional and statutory remedies remain unaffected. If a provision or application is invalid, the remainder survives, but no exclusive compact may operate without the eligibility, no-new-harm, beneficiary-control, effective-authorization, and supervision requirements applicable to it.</w:t>
      </w:r>
    </w:p>
    <w:p>
      <w:r>
        <w:br w:type="page"/>
      </w:r>
    </w:p>
    <w:p>
      <w:pPr>
        <w:pStyle w:val="Heading1"/>
        <w:keepNext/>
      </w:pPr>
      <w:r>
        <w:t>Source and drafting notes</w:t>
      </w:r>
    </w:p>
    <w:p>
      <w:pPr>
        <w:pStyle w:val="DraftingNote"/>
      </w:pPr>
      <w:r>
        <w:rPr>
          <w:b/>
        </w:rPr>
        <w:t>These notes are not part of the bill.</w:t>
      </w:r>
      <w:r>
        <w:t xml:space="preserve"> Research checked 28 September 2026. This text is paired with the Model State Cornerstone Enabling Act; neither instrument establishes an existing program.</w:t>
      </w:r>
    </w:p>
    <w:p>
      <w:pPr>
        <w:pStyle w:val="DraftingNote"/>
      </w:pPr>
      <w:r>
        <w:rPr>
          <w:b/>
        </w:rPr>
        <w:t>Design sources.</w:t>
      </w:r>
      <w:r>
        <w:t xml:space="preserve"> The supplied Cornerstone Policy Paper, especially Parts III–XII, and Design Commentary, decisions 3–21 and 19A, control the structure. The supplied speech confirms the sequence and voluntary character. The Displacement Event Census and all six Event Evidence workbook sheets supply research leads and cautions, not legislative findings. No listed industry or named worker is certified. The census's broader material-effect screen and compensation-accounting comments do not replace the paper's narrower intent and individual-livelihood tests or its rule preserving eligibility after ordinary benefits.</w:t>
      </w:r>
    </w:p>
    <w:p>
      <w:pPr>
        <w:pStyle w:val="DraftingNote"/>
      </w:pPr>
      <w:r>
        <w:rPr>
          <w:b/>
        </w:rPr>
        <w:t>Resolved administration.</w:t>
      </w:r>
      <w:r>
        <w:t xml:space="preserve"> The bill uses a preponderance standard, a two-year post-certification claims period with specified extensions, a 180-day founding window, and stated decision and negotiation deadlines. These were not fixed in the sources. Imminent losses support group investigation but individual units require actual injury. Mixed-event Associations retain the oldest represented unremedied event's priority; closed rolls and no sale of priority prevent post-match recruitment. Separate losses cannot duplicate restoration of one livelihood. The common-event inference is rebuttable. Succession requires proof and one undivided unit, rather than multiplying claims among descendants.</w:t>
      </w:r>
    </w:p>
    <w:p>
      <w:pPr>
        <w:pStyle w:val="DraftingNote"/>
      </w:pPr>
      <w:r>
        <w:rPr>
          <w:b/>
        </w:rPr>
        <w:t>Restoration and financing.</w:t>
      </w:r>
      <w:r>
        <w:t xml:space="preserve"> Section 9 reconciles the commentary's usable-opportunity test with the policy paper's prelaunch financing safeguard by making delivery provisional until financing and operations. The Fund uses published actuarial inputs and a capped total obligation, with enterprise-only recourse. Appropriations, credit subsidy estimates, defaults, and administration remain real fiscal issues; repayment is an aim, not a zero-cost guarantee. The State share continues during the compact even after Fund repayment ends.</w:t>
      </w:r>
    </w:p>
    <w:p>
      <w:pPr>
        <w:pStyle w:val="DraftingNote"/>
      </w:pPr>
      <w:r>
        <w:rPr>
          <w:b/>
        </w:rPr>
        <w:t>Unspecified trades and rates.</w:t>
      </w:r>
      <w:r>
        <w:t xml:space="preserve"> No source selects a trade for immediate federal legalization or a numerical State share. Section 7 therefore requires trade-specific congressional authorization before a federally prohibited offer can be ranked, and does not create a blanket agency waiver. State-only prohibited trades can proceed under this framework. Section 6 requires one prospectively enacted State rate, fixed before offers; the paired State act supplies the accounting mechanics and public rulemaking. A joint Garden offer awaits separately enacted Garden machinery; this bill does not silently create that program or allocate quotas to it.</w:t>
      </w:r>
    </w:p>
    <w:p>
      <w:pPr>
        <w:pStyle w:val="DraftingNote"/>
      </w:pPr>
      <w:r>
        <w:rPr>
          <w:b/>
        </w:rPr>
        <w:t>Federalism and commerce.</w:t>
      </w:r>
      <w:r>
        <w:t xml:space="preserve"> Murphy v. NCAA, 584 U.S. 453, 475–481 (2018), supports keeping State participation voluntary and regulating private conduct through actual federal law. Tennessee Wine &amp; Spirits Retailers Ass'n v. Thomas, 588 U.S. 504 (2019), supports avoiding residence restrictions. Congressional commerce consent does not cure an independent constitutional defect. Primary texts: </w:t>
      </w:r>
      <w:hyperlink r:id="rId9">
        <w:r>
          <w:rPr>
            <w:color w:val="000000"/>
            <w:u w:val="single"/>
          </w:rPr>
          <w:t>Murphy opinion</w:t>
        </w:r>
      </w:hyperlink>
      <w:r>
        <w:t xml:space="preserve"> ; </w:t>
      </w:r>
      <w:hyperlink r:id="rId10">
        <w:r>
          <w:rPr>
            <w:color w:val="000000"/>
            <w:u w:val="single"/>
          </w:rPr>
          <w:t>Tennessee Wine opinion</w:t>
        </w:r>
      </w:hyperlink>
      <w:r/>
    </w:p>
    <w:p>
      <w:pPr>
        <w:pStyle w:val="DraftingNote"/>
      </w:pPr>
      <w:r>
        <w:rPr>
          <w:b/>
        </w:rPr>
        <w:t>Competition and review.</w:t>
      </w:r>
      <w:r>
        <w:t xml:space="preserve"> North Carolina State Board of Dental Examiners v. FTC, 574 U.S. 494, 515 (2015), requires genuine substantive supervision where applicable; a nominal power or corporate government seat is insufficient. No universal antitrust immunity is promised. The bill uses 5 U.S.C. 702–706 and independent judicial interpretation under Loper Bright Enterprises v. Raimondo, 603 U.S. 369 (2024). The 19 U.S.C. 2271–2272 petition structure is an administrative analogy, not imported eligibility or a representation that Trade Adjustment Assistance is currently open. Primary texts: </w:t>
      </w:r>
      <w:hyperlink r:id="rId11">
        <w:r>
          <w:rPr>
            <w:color w:val="000000"/>
            <w:u w:val="single"/>
          </w:rPr>
          <w:t>North Carolina Dental opinion</w:t>
        </w:r>
      </w:hyperlink>
      <w:r>
        <w:t xml:space="preserve"> ; </w:t>
      </w:r>
      <w:hyperlink r:id="rId12">
        <w:r>
          <w:rPr>
            <w:color w:val="000000"/>
            <w:u w:val="single"/>
          </w:rPr>
          <w:t>5 U.S.C. chapter 7</w:t>
        </w:r>
      </w:hyperlink>
      <w:r>
        <w:t xml:space="preserve"> ; </w:t>
      </w:r>
      <w:hyperlink r:id="rId13">
        <w:r>
          <w:rPr>
            <w:color w:val="000000"/>
            <w:u w:val="single"/>
          </w:rPr>
          <w:t>Loper Bright opinion</w:t>
        </w:r>
      </w:hyperlink>
      <w:r>
        <w:t xml:space="preserve"> ; </w:t>
      </w:r>
      <w:hyperlink r:id="rId14">
        <w:r>
          <w:rPr>
            <w:color w:val="000000"/>
            <w:u w:val="single"/>
          </w:rPr>
          <w:t>19 U.S.C. 2271</w:t>
        </w:r>
      </w:hyperlink>
      <w:r/>
    </w:p>
    <w:p>
      <w:pPr>
        <w:pStyle w:val="DraftingNote"/>
      </w:pPr>
      <w:r>
        <w:rPr>
          <w:b/>
        </w:rPr>
        <w:t>Fiscal and constitutional limits.</w:t>
      </w:r>
      <w:r>
        <w:t xml:space="preserve"> Federal Credit Reform Act, 2 U.S.C. 661–661f, especially 661c, governs credit budgeting; Constitution, Amendment XIV, section 4, independently bars prohibited emancipation-loss claims. State constitutional limits on monopolies, hereditary privileges, public credit, gifts, taxation, and long-term commitments require State-specific review before offers. Primary texts: </w:t>
      </w:r>
      <w:hyperlink r:id="rId15">
        <w:r>
          <w:rPr>
            <w:color w:val="000000"/>
            <w:u w:val="single"/>
          </w:rPr>
          <w:t>2 U.S.C. 661c</w:t>
        </w:r>
      </w:hyperlink>
      <w:r>
        <w:t xml:space="preserve"> ; </w:t>
      </w:r>
      <w:hyperlink r:id="rId16">
        <w:r>
          <w:rPr>
            <w:color w:val="000000"/>
            <w:u w:val="single"/>
          </w:rPr>
          <w:t>Fourteenth Amendment</w:t>
        </w:r>
      </w:hyperlink>
      <w:r/>
    </w:p>
    <w:sectPr w:rsidR="00FC693F" w:rsidRPr="0006063C" w:rsidSect="00034616">
      <w:footerReference w:type="default" r:id="rId17"/>
      <w:pgSz w:w="12240" w:h="15840"/>
      <w:pgMar w:top="1152" w:right="1296" w:bottom="1152" w:left="1296"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sz w:val="18"/>
      </w:rPr>
      <w:t xml:space="preserve">Page </w:t>
    </w:r>
    <w:fldSimple w:instr="PAGE">
      <w:r>
        <w:t>1</w:t>
      </w:r>
    </w:fldSimple>
    <w:r>
      <w:rPr>
        <w:sz w:val="18"/>
      </w:rPr>
      <w:t xml:space="preserve"> of </w:t>
    </w:r>
    <w:fldSimple w:instr="NUMPAGES">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5" w:lineRule="auto" w:after="80"/>
    </w:pPr>
    <w:rPr>
      <w:rFonts w:ascii="Times New Roman" w:hAnsi="Times New Roman" w:cs="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rPr>
  </w:style>
  <w:style w:type="character" w:customStyle="1" w:styleId="HeaderChar">
    <w:name w:val="Header Char"/>
    <w:basedOn w:val="DefaultParagraphFont"/>
    <w:link w:val="Header"/>
    <w:uiPriority w:val="99"/>
    <w:rsid w:val="00E618BF"/>
    <w:rPr>
      <w:rFonts w:ascii="Times New Roman" w:hAnsi="Times New Roman" w:cs="Times New Roman" w:eastAsia="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sz w:val="18"/>
    </w:rPr>
  </w:style>
  <w:style w:type="character" w:customStyle="1" w:styleId="FooterChar">
    <w:name w:val="Footer Char"/>
    <w:basedOn w:val="DefaultParagraphFont"/>
    <w:link w:val="Footer"/>
    <w:uiPriority w:val="99"/>
    <w:rsid w:val="00E618BF"/>
    <w:rPr>
      <w:rFonts w:ascii="Times New Roman" w:hAnsi="Times New Roman" w:cs="Times New Roman" w:eastAsia="Times New Roman"/>
      <w:color w:val="000000"/>
    </w:rPr>
  </w:style>
  <w:style w:type="paragraph" w:styleId="Heading1">
    <w:name w:val="heading 1"/>
    <w:basedOn w:val="Normal"/>
    <w:next w:val="Normal"/>
    <w:link w:val="Heading1Char"/>
    <w:uiPriority w:val="9"/>
    <w:qFormat/>
    <w:rsid w:val="00FC693F"/>
    <w:pPr>
      <w:keepNext/>
      <w:keepLines/>
      <w:spacing w:before="160" w:after="100"/>
      <w:outlineLvl w:val="0"/>
    </w:pPr>
    <w:rPr>
      <w:rFonts w:cstheme="majorBidi" w:ascii="Times New Roman" w:hAnsi="Times New Roman" w:cs="Times New Roman" w:eastAsia="Times New Roman"/>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cs="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cs="Times New Roman" w:eastAsia="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s="Times New Roman" w:eastAsia="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cs="Times New Roman" w:eastAsia="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cs="Times New Roman" w:eastAsia="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s="Times New Roman" w:eastAsia="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cs="Times New Roman" w:eastAsia="Times New Roman"/>
      <w:i/>
      <w:iCs/>
      <w:color w:val="000000"/>
      <w:sz w:val="20"/>
      <w:szCs w:val="20"/>
    </w:rPr>
  </w:style>
  <w:style w:type="character" w:default="1" w:styleId="DefaultParagraphFont">
    <w:name w:val="Default Paragraph Font"/>
    <w:uiPriority w:val="1"/>
    <w:semiHidden/>
    <w:unhideWhenUsed/>
    <w:rPr>
      <w:rFonts w:ascii="Times New Roman" w:hAnsi="Times New Roman" w:cs="Times New Roman" w:eastAsia="Times New Roman"/>
      <w:color w:val="000000"/>
    </w:rPr>
  </w:style>
  <w:style w:type="table" w:default="1" w:styleId="TableNormal">
    <w:name w:val="Normal Table"/>
    <w:uiPriority w:val="99"/>
    <w:semiHidden/>
    <w:unhideWhenUsed/>
    <w:rPr>
      <w:rFonts w:ascii="Times New Roman" w:hAnsi="Times New Roman" w:cs="Times New Roman" w:eastAsia="Times New Roman"/>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s="Times New Roman" w:eastAsia="Times New Roman"/>
      <w:color w:val="000000"/>
    </w:rPr>
  </w:style>
  <w:style w:type="character" w:customStyle="1" w:styleId="Heading1Char">
    <w:name w:val="Heading 1 Char"/>
    <w:basedOn w:val="DefaultParagraphFont"/>
    <w:link w:val="Heading1"/>
    <w:uiPriority w:val="9"/>
    <w:rsid w:val="00FC693F"/>
    <w:rPr>
      <w:rFonts w:cstheme="majorBidi" w:ascii="Times New Roman" w:hAnsi="Times New Roman" w:cs="Times New Roman" w:eastAsia="Times New Roman"/>
      <w:b/>
      <w:bCs/>
      <w:color w:val="000000"/>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cs="Times New Roman" w:eastAsia="Times New Roman"/>
      <w:b/>
      <w:bCs/>
      <w:color w:val="000000"/>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cs="Times New Roman" w:eastAsia="Times New Roman"/>
      <w:b/>
      <w:bCs/>
      <w:color w:val="000000"/>
    </w:rPr>
  </w:style>
  <w:style w:type="paragraph" w:styleId="Title">
    <w:name w:val="Title"/>
    <w:basedOn w:val="Normal"/>
    <w:next w:val="Normal"/>
    <w:link w:val="TitleChar"/>
    <w:uiPriority w:val="10"/>
    <w:qFormat/>
    <w:rsid w:val="00FC693F"/>
    <w:pPr>
      <w:keepNext/>
      <w:spacing w:after="80" w:line="240" w:lineRule="auto"/>
      <w:contextualSpacing/>
    </w:pPr>
    <w:rPr>
      <w:rFonts w:cstheme="majorBidi" w:ascii="Times New Roman" w:hAnsi="Times New Roman" w:cs="Times New Roman" w:eastAsia="Times New Roman"/>
      <w:b/>
      <w:color w:val="000000"/>
      <w:spacing w:val="5"/>
      <w:kern w:val="28"/>
      <w:sz w:val="34"/>
      <w:szCs w:val="52"/>
    </w:rPr>
  </w:style>
  <w:style w:type="character" w:customStyle="1" w:styleId="TitleChar">
    <w:name w:val="Title Char"/>
    <w:basedOn w:val="DefaultParagraphFont"/>
    <w:link w:val="Title"/>
    <w:uiPriority w:val="10"/>
    <w:rsid w:val="00FC693F"/>
    <w:rPr>
      <w:rFonts w:cstheme="majorBidi" w:ascii="Times New Roman" w:hAnsi="Times New Roman" w:cs="Times New Roman" w:eastAsia="Times New Roman"/>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cstheme="majorBidi" w:ascii="Times New Roman" w:hAnsi="Times New Roman" w:cs="Times New Roman" w:eastAsia="Times New Roman"/>
      <w:i w:val="0"/>
      <w:iCs/>
      <w:color w:val="000000"/>
      <w:spacing w:val="15"/>
      <w:sz w:val="23"/>
      <w:szCs w:val="24"/>
    </w:rPr>
  </w:style>
  <w:style w:type="character" w:customStyle="1" w:styleId="SubtitleChar">
    <w:name w:val="Subtitle Char"/>
    <w:basedOn w:val="DefaultParagraphFont"/>
    <w:link w:val="Subtitle"/>
    <w:uiPriority w:val="11"/>
    <w:rsid w:val="00FC693F"/>
    <w:rPr>
      <w:rFonts w:cstheme="majorBidi"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Times New Roman"/>
      <w:color w:val="000000"/>
    </w:rPr>
  </w:style>
  <w:style w:type="character" w:customStyle="1" w:styleId="BodyTextChar">
    <w:name w:val="Body Text Char"/>
    <w:basedOn w:val="DefaultParagraphFont"/>
    <w:link w:val="BodyText"/>
    <w:uiPriority w:val="99"/>
    <w:rsid w:val="00AA1D8D"/>
    <w:rPr>
      <w:rFonts w:ascii="Times New Roman" w:hAnsi="Times New Roman" w:cs="Times New Roman" w:eastAsia="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cs="Times New Roman" w:eastAsia="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cs="Times New Roman" w:eastAsia="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rPr>
  </w:style>
  <w:style w:type="character" w:customStyle="1" w:styleId="Heading4Char">
    <w:name w:val="Heading 4 Char"/>
    <w:basedOn w:val="DefaultParagraphFont"/>
    <w:link w:val="Heading4"/>
    <w:uiPriority w:val="9"/>
    <w:semiHidden/>
    <w:rsid w:val="00FC693F"/>
    <w:rPr>
      <w:rFonts w:cstheme="majorBidi" w:ascii="Times New Roman" w:hAnsi="Times New Roman" w:cs="Times New Roman" w:eastAsia="Times New Roman"/>
      <w:b/>
      <w:bCs/>
      <w:i/>
      <w:iCs/>
      <w:color w:val="000000"/>
    </w:rPr>
  </w:style>
  <w:style w:type="character" w:customStyle="1" w:styleId="Heading5Char">
    <w:name w:val="Heading 5 Char"/>
    <w:basedOn w:val="DefaultParagraphFont"/>
    <w:link w:val="Heading5"/>
    <w:uiPriority w:val="9"/>
    <w:semiHidden/>
    <w:rsid w:val="00FC693F"/>
    <w:rPr>
      <w:rFonts w:cstheme="majorBidi" w:ascii="Times New Roman" w:hAnsi="Times New Roman" w:cs="Times New Roman" w:eastAsia="Times New Roman"/>
      <w:color w:val="000000"/>
    </w:rPr>
  </w:style>
  <w:style w:type="character" w:customStyle="1" w:styleId="Heading6Char">
    <w:name w:val="Heading 6 Char"/>
    <w:basedOn w:val="DefaultParagraphFont"/>
    <w:link w:val="Heading6"/>
    <w:uiPriority w:val="9"/>
    <w:semiHidden/>
    <w:rsid w:val="00FC693F"/>
    <w:rPr>
      <w:rFonts w:cstheme="majorBidi" w:ascii="Times New Roman" w:hAnsi="Times New Roman" w:cs="Times New Roman" w:eastAsia="Times New Roman"/>
      <w:i/>
      <w:iCs/>
      <w:color w:val="000000"/>
    </w:rPr>
  </w:style>
  <w:style w:type="character" w:customStyle="1" w:styleId="Heading7Char">
    <w:name w:val="Heading 7 Char"/>
    <w:basedOn w:val="DefaultParagraphFont"/>
    <w:link w:val="Heading7"/>
    <w:uiPriority w:val="9"/>
    <w:semiHidden/>
    <w:rsid w:val="00FC693F"/>
    <w:rPr>
      <w:rFonts w:cstheme="majorBidi" w:ascii="Times New Roman" w:hAnsi="Times New Roman" w:cs="Times New Roman" w:eastAsia="Times New Roman"/>
      <w:i/>
      <w:iCs/>
      <w:color w:val="000000"/>
    </w:rPr>
  </w:style>
  <w:style w:type="character" w:customStyle="1" w:styleId="Heading8Char">
    <w:name w:val="Heading 8 Char"/>
    <w:basedOn w:val="DefaultParagraphFont"/>
    <w:link w:val="Heading8"/>
    <w:uiPriority w:val="9"/>
    <w:semiHidden/>
    <w:rsid w:val="00FC693F"/>
    <w:rPr>
      <w:rFonts w:cstheme="majorBidi" w:ascii="Times New Roman" w:hAnsi="Times New Roman" w:cs="Times New Roman" w:eastAsia="Times New Roman"/>
      <w:color w:val="000000"/>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cs="Times New Roman" w:eastAsia="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18"/>
      <w:szCs w:val="18"/>
    </w:rPr>
  </w:style>
  <w:style w:type="character" w:styleId="Strong">
    <w:name w:val="Strong"/>
    <w:basedOn w:val="DefaultParagraphFont"/>
    <w:uiPriority w:val="22"/>
    <w:qFormat/>
    <w:rsid w:val="00FC693F"/>
    <w:rPr>
      <w:rFonts w:ascii="Times New Roman" w:hAnsi="Times New Roman" w:cs="Times New Roman" w:eastAsia="Times New Roman"/>
      <w:b/>
      <w:bCs/>
      <w:color w:val="000000"/>
    </w:rPr>
  </w:style>
  <w:style w:type="character" w:styleId="Emphasis">
    <w:name w:val="Emphasis"/>
    <w:basedOn w:val="DefaultParagraphFont"/>
    <w:uiPriority w:val="20"/>
    <w:qFormat/>
    <w:rsid w:val="00FC693F"/>
    <w:rPr>
      <w:rFonts w:ascii="Times New Roman" w:hAnsi="Times New Roman" w:cs="Times New Roman" w:eastAsia="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cs="Times New Roman" w:eastAsia="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000000"/>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000000"/>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000000"/>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cs="Times New Roman" w:eastAsia="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color w:val="000000"/>
    </w:rPr>
  </w:style>
  <w:style w:type="table" w:styleId="TableGrid">
    <w:name w:val="Table Grid"/>
    <w:basedOn w:val="TableNormal"/>
    <w:uiPriority w:val="59"/>
    <w:rsid w:val="00FC693F"/>
    <w:pPr>
      <w:spacing w:after="0" w:line="240" w:lineRule="auto"/>
    </w:pPr>
    <w:rPr>
      <w:rFonts w:ascii="Times New Roman" w:hAnsi="Times New Roman" w:cs="Times New Roman" w:eastAsia="Times New Roman"/>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s="Times New Roman" w:eastAsia="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Times New Roman"/>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ingNote">
    <w:name w:val="Drafting Note"/>
    <w:basedOn w:val="Normal"/>
    <w:pPr>
      <w:spacing w:line="245" w:lineRule="auto" w:after="120"/>
    </w:pPr>
    <w:rPr>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upremecourt.gov/opinions/17pdf/16-476_dbfi.pdf" TargetMode="External"/><Relationship Id="rId10" Type="http://schemas.openxmlformats.org/officeDocument/2006/relationships/hyperlink" Target="https://www.supremecourt.gov/opinions/18pdf/18-96_5i36.pdf" TargetMode="External"/><Relationship Id="rId11" Type="http://schemas.openxmlformats.org/officeDocument/2006/relationships/hyperlink" Target="https://www.ftc.gov/system/files/documents/cases/150225ncdentalopinion.pdf" TargetMode="External"/><Relationship Id="rId12" Type="http://schemas.openxmlformats.org/officeDocument/2006/relationships/hyperlink" Target="https://uscode.house.gov/view.xhtml?edition=prelim&amp;path=%2Fprelim%40title5%2Fpart1%2Fchapter7" TargetMode="External"/><Relationship Id="rId13" Type="http://schemas.openxmlformats.org/officeDocument/2006/relationships/hyperlink" Target="https://www.supremecourt.gov/opinions/23pdf/22-451_7m58.pdf" TargetMode="External"/><Relationship Id="rId14" Type="http://schemas.openxmlformats.org/officeDocument/2006/relationships/hyperlink" Target="https://uscode.house.gov/view.xhtml?req=%28title%3A19+section%3A2271+edition%3Aprelim%29" TargetMode="External"/><Relationship Id="rId15" Type="http://schemas.openxmlformats.org/officeDocument/2006/relationships/hyperlink" Target="https://uscode.house.gov/view.xhtml?req=%28title%3A2+section%3A661c+edition%3Aprelim%29" TargetMode="External"/><Relationship Id="rId16" Type="http://schemas.openxmlformats.org/officeDocument/2006/relationships/hyperlink" Target="https://www.archives.gov/milestone-documents/14th-amendment" TargetMode="Externa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Cornerstone Bill</dc:title>
  <dc:subject>Cornerstone legislative proposal and separate source and drafting notes</dc:subject>
  <dc:creator/>
  <cp:keywords>Cornerstone; legislative proposal</cp:keywords>
  <dc:description>generated by python-docx</dc:description>
  <cp:lastModifiedBy/>
  <cp:revision>1</cp:revision>
  <dcterms:created xsi:type="dcterms:W3CDTF">2013-12-23T23:15:00Z</dcterms:created>
  <dcterms:modified xsi:type="dcterms:W3CDTF">2013-12-23T23:15:00Z</dcterms:modified>
  <cp:category/>
</cp:coreProperties>
</file>