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Model State Cornerstone Enabling Act</w:t>
      </w:r>
    </w:p>
    <w:p>
      <w:pPr>
        <w:pStyle w:val="Subtitle"/>
      </w:pPr>
      <w:r>
        <w:t>Companion to the federal Cornerstone Livelihood Restoration Act</w:t>
      </w:r>
    </w:p>
    <w:p>
      <w:pPr>
        <w:keepNext/>
      </w:pPr>
      <w:r>
        <w:rPr>
          <w:b/>
        </w:rPr>
        <w:t>AN ACT</w:t>
      </w:r>
    </w:p>
    <w:p>
      <w:pPr/>
      <w:r>
        <w:t>To authorize voluntary State participation in Cornerstone, establish supervised regional compacts, and dedicate a published share of protected enterprise surplus to public land acquisition.</w:t>
      </w:r>
    </w:p>
    <w:p>
      <w:pPr/>
      <w:r>
        <w:t>Be it enacted by the Legislature of this State:</w:t>
      </w:r>
    </w:p>
    <w:p>
      <w:pPr>
        <w:pStyle w:val="Heading1"/>
        <w:keepNext/>
      </w:pPr>
      <w:r>
        <w:t>Section 1 Participation and definitions</w:t>
      </w:r>
    </w:p>
    <w:p>
      <w:pPr/>
      <w:r>
        <w:t>(a) This Act may be cited as the “State Cornerstone Enabling Act”. The State elects to participate in the federal Cornerstone Livelihood Restoration Act, referred to as the “Federal Act”, subject to this Act and this State's constitution. Federal Act references mean that Act as originally enacted; later amendments require conforming State legislation to change State authority.</w:t>
      </w:r>
    </w:p>
    <w:p>
      <w:pPr/>
      <w:r>
        <w:t>(b) “Labor” and “Commerce” mean the federal Secretaries identified by the Federal Act. “Association”, “claim”, “compact”, “enterprise”, “event”, “Exchange”, “founding unit”, and “Fund” have the meanings in section 1 of the Federal Act. “Agency” means the existing State executive agency designated by general law to administer this Act. “Supervisor” means its responsible public official meeting section 6. “Rate Act” means a general law establishing the percentage required by section 5(a). “Sector Act” means a general law satisfying section 2(b).</w:t>
      </w:r>
    </w:p>
    <w:p>
      <w:pPr/>
      <w:r>
        <w:t>(c) Federal Labor determines events, individual claims, and Association charters; federal Commerce administers the Exchange and matching. The State shall neither recertify claims nor select favored workers. Neither residence, race, political affiliation, nor viewpoint may determine access to an offer. This Act creates no Garden program and does not cancel a separate Garden entitlement.</w:t>
      </w:r>
    </w:p>
    <w:p>
      <w:pPr>
        <w:pStyle w:val="Heading1"/>
        <w:keepNext/>
      </w:pPr>
      <w:r>
        <w:t>Section 2 Legislative authority and prerequisites</w:t>
      </w:r>
    </w:p>
    <w:p>
      <w:pPr/>
      <w:r>
        <w:rPr>
          <w:b/>
        </w:rPr>
        <w:t>(a) PURPOSE AND COMPETITION.—</w:t>
      </w:r>
      <w:r>
        <w:t>The public purposes of this Act are restoring productive opportunity to persons directly injured under the Federal Act and acquiring land for public purposes. Subject to a Sector Act, the Legislature deliberately replaces competition in a previously prohibited trade within specified districts with a limited, supervised exclusive compact. The authorized restraints are exclusive entry within those boundaries, approved prices or pricing methods, nondiscriminatory access and service conditions, and necessary exclusions within the defined trade. No restraint outside that field is authorized.</w:t>
      </w:r>
    </w:p>
    <w:p>
      <w:pPr/>
      <w:r>
        <w:rPr>
          <w:b/>
        </w:rPr>
        <w:t>(b) SECTOR AUTHORITY.—</w:t>
      </w:r>
      <w:r>
        <w:t>No offer may be published until a Sector Act identifies the prohibited activity and the State provisions to be displaced; authorizes the permissible district boundaries and the restraints described in subsection (a); identifies the responsible Agency and sector regulators; supplies necessary licensing authority and substantive public protections; and states which State prohibition ceases to apply upon compact effectiveness and what neutral licensing regime governs entry at expiration. The Sector Act shall identify and obtain any required local consent or referendum; this Act itself does not override home-rule authority, the State constitution, tribal jurisdiction, or federal law.</w:t>
      </w:r>
    </w:p>
    <w:p>
      <w:pPr/>
      <w:r>
        <w:rPr>
          <w:b/>
        </w:rPr>
        <w:t>(c) LEGAL REVIEW.—</w:t>
      </w:r>
      <w:r>
        <w:t>Before publication, the Attorney General shall publish a reasoned determination identifying authority for the proposed trade, exclusivity, succession, term, surplus share, and review procedure, and addressing relevant constitutional restrictions on monopolies, exclusive or hereditary privileges, special laws, public purposes, gifts or credit, tax or fee enactment, and long-term State commitments. Required constitutional amendments, voter approvals, and local approvals must be effective. This determination is reviewable and does not bind a court. Where federal law prohibits the activity, the express congressional authorization required by section 7 of the Federal Act must be effective before ranking; any remaining implementing permits must be identified.</w:t>
      </w:r>
    </w:p>
    <w:p>
      <w:pPr/>
      <w:r>
        <w:rPr>
          <w:b/>
        </w:rPr>
        <w:t>(d) RULES AND FUNDING.—</w:t>
      </w:r>
      <w:r>
        <w:t>The Agency shall adopt rules through public notice and comment, hold an accessible hearing, and publish the final rules at least 90 days before rankings close. Rules shall implement this Act's financial, supervision, complaint, audit, and review procedures without expanding the trade or changing allocation priorities. State administration requires appropriated funds. No State loan, guarantee, equity subscription, or pledge of public credit is authorized.</w:t>
      </w:r>
    </w:p>
    <w:p>
      <w:pPr>
        <w:pStyle w:val="Heading1"/>
        <w:keepNext/>
      </w:pPr>
      <w:r>
        <w:t>Section 3 Public offers and matching</w:t>
      </w:r>
    </w:p>
    <w:p>
      <w:pPr/>
      <w:r>
        <w:rPr>
          <w:b/>
        </w:rPr>
        <w:t>(a) NO NEW HARM.—</w:t>
      </w:r>
      <w:r>
        <w:t>An offer may concern only a trade legally closed to every private person in the district when published and until compact entry. The Agency shall give public notice and reasonably practicable direct notice to potentially affected right holders, permit at least 60 days for objections and contrary evidence, and find on the record that the offer takes or impairs no existing lawful job, license, contract, customer relationship, application or queue position, or market. Lawful remote and cross-border supply, public employment and contracts, and tribal, treaty, and property rights shall be examined. No current operator is not the same as no lawful market. A prohibition adopted to clear an occupied field for Cornerstone is insufficient. Any failure of this test bars the offer; compensation to an incumbent does not cure it.</w:t>
      </w:r>
    </w:p>
    <w:p>
      <w:pPr/>
      <w:r>
        <w:rPr>
          <w:b/>
        </w:rPr>
        <w:t>(b) REQUIRED CONTENT.—</w:t>
      </w:r>
      <w:r>
        <w:t>The final offer shall publish the precise trade and mapped district; legal findings and authorizations; objective technical and financial-readiness requirements; service and launch obligations; 30-year term and single conditional 10-year renewal; ordinary regulatory and tax requirements; responsible supervisors; the fixed rate, full calculation and protected baseline under section 5; and all commercial terms open to negotiation with their permitted ranges. A menu may address siting within the district, lawful activities within the defined trade, phasing, service levels, and objective financing milestones; it may not alter the rate, eligibility, membership rights, boundaries, maximum term, or public protections. Division or consortium options must be specified before rankings; separately allocable districts or fixed bundles shall be distinct indivisible offers without overlapping exclusive rights. The offer shall identify available appropriated supervision resources.</w:t>
      </w:r>
    </w:p>
    <w:p>
      <w:pPr/>
      <w:r>
        <w:rPr>
          <w:b/>
        </w:rPr>
        <w:t>(c) FIXED OFFER.—</w:t>
      </w:r>
      <w:r>
        <w:t>The Agency shall publish the complete offer on the Exchange at least 90 days before rankings close, before learning which Associations rank it. A material change requires withdrawal, republication, and new rankings. Garden or joint designation must precede ranking and comply with section 5(d) of the Federal Act. No right shall be allocated twice.</w:t>
      </w:r>
    </w:p>
    <w:p>
      <w:pPr/>
      <w:r>
        <w:rPr>
          <w:b/>
        </w:rPr>
        <w:t>(d) MATCH AND NEGOTIATION.—</w:t>
      </w:r>
      <w:r>
        <w:t>Commerce's sealed ranked-choice process under section 5 of the Federal Act exclusively determines the match, including priority for the oldest still-unremedied certified event and a public random tie-break. Only Associations with closed founding rolls may enter. The Agency shall negotiate only with the matched Association and only within the published menu, for 180 days with the uniform extension permitted by that section. Failure returns the offer to the Exchange; neither merit scoring, private auction, political sponsorship, nor an unofficial side agreement may replace the published process. The draft compact and a statement demonstrating conformity to the offer shall be public for 30 days before execution.</w:t>
      </w:r>
    </w:p>
    <w:p>
      <w:pPr>
        <w:pStyle w:val="Heading1"/>
        <w:keepNext/>
      </w:pPr>
      <w:r>
        <w:t>Section 4 Compact rights and term</w:t>
      </w:r>
    </w:p>
    <w:p>
      <w:pPr/>
      <w:r>
        <w:rPr>
          <w:b/>
        </w:rPr>
        <w:t>(a) EFFECTIVENESS.—</w:t>
      </w:r>
      <w:r>
        <w:t>The Agency shall execute a compact only after a majority of all founding units approves it, all State legal prerequisites are effective, and the Agency makes written findings of conformity to the offer. It shall state the first legally operative date of exclusivity. No prohibited operation may begin before every required State and federal authorization is effective. The term shall not begin while an essential legal authorization is absent. The compact shall be enforceable in this State's courts under section 7.</w:t>
      </w:r>
    </w:p>
    <w:p>
      <w:pPr/>
      <w:r>
        <w:rPr>
          <w:b/>
        </w:rPr>
        <w:t>(b) CONTROL AND MEMBER RIGHTS.—</w:t>
      </w:r>
      <w:r>
        <w:t>Section 4 of the Federal Act is an enforceable compact condition, including the 2,500-unit default limit and its stated exception, one vote and equal base ownership and distributions per founding unit, inspection rights, the single-successor rule, and first opportunity for funded training, qualified work, or a member franchise. No member must relocate, retrain, work, provide personal capital, or incur personal debt. Membership closes before ranking. The Association retains all voting control over compact operations; outside investment may receive nonvoting economics but no corporate veto or control. Founding units and the compact are inalienable. The State receives no equity, vote, board seat, corporate veto, or management power; public regulatory authority under section 6 remains distinct.</w:t>
      </w:r>
    </w:p>
    <w:p>
      <w:pPr/>
      <w:r>
        <w:rPr>
          <w:b/>
        </w:rPr>
        <w:t>(c) TERM AND RENEWAL.—</w:t>
      </w:r>
      <w:r>
        <w:t>The initial term is 30 years. It renews once, automatically, for 10 years if beneficiary voting control continues and no uncured material violation is established under section 6. No later exclusive renewal is permitted. At least 18 months before the initial term ends, the Supervisor shall begin a public compliance review and issue findings at least six months before that date. Failure to complete review does not defeat automatic renewal; subsequently established violations remain subject to section 6. Political disagreement is not a ground for nonrenewal.</w:t>
      </w:r>
    </w:p>
    <w:p>
      <w:pPr/>
      <w:r>
        <w:rPr>
          <w:b/>
        </w:rPr>
        <w:t>(d) EXPIRATION AND GENERAL LAW.—</w:t>
      </w:r>
      <w:r>
        <w:t>At final expiration, exclusivity and the State surplus-share obligation cease for subsequent activity; accrued accounting and payment duties survive. The neutral entry regime specified by the Sector Act shall apply unless a subsequently enacted, generally applicable law provides otherwise. General legalization outside the district is permitted at any time. The compact grants no exemption from ordinary safety, labor, environmental, consumer, civil-rights, tax, securities, or insolvency law, and does not disable lawful, generally applicable exercises of the police power.</w:t>
      </w:r>
    </w:p>
    <w:p>
      <w:pPr/>
      <w:r>
        <w:rPr>
          <w:b/>
        </w:rPr>
        <w:t>(e) DELIVERY.—</w:t>
      </w:r>
      <w:r>
        <w:t>The Agency shall provide Commerce and Labor the effective compact, permits, independent feasibility review, funded member-training access, and capital-readiness record required by section 9 of the Federal Act. It shall apply the published launch deadline and the single preopening revision or Exchange-return opportunity. Ordinary market failure creates no profit guarantee; governmental defeat of the compact right is governed by that section and otherwise applicable law. No State compensation guarantee is created.</w:t>
      </w:r>
    </w:p>
    <w:p>
      <w:pPr>
        <w:pStyle w:val="Heading1"/>
        <w:keepNext/>
      </w:pPr>
      <w:r>
        <w:t>Section 5 State surplus share and land account</w:t>
      </w:r>
    </w:p>
    <w:p>
      <w:pPr/>
      <w:r>
        <w:rPr>
          <w:b/>
        </w:rPr>
        <w:t>(a) PROSPECTIVE RATE.—</w:t>
      </w:r>
      <w:r>
        <w:t>Before any final offer is published, a Rate Act shall establish one modest positive percentage applicable to every offer first published under that Rate Act. Before its enactment, the State's fiscal office shall publish an independently reviewed report showing expected receipts, enterprise financing and downside viability, and the protected baseline under this section; the Legislature shall state how the chosen modest rate preserves a commercially usable opportunity. No officer may set, waive, vary, or privately negotiate the percentage. A later Rate Act applies only to offers published thereafter. Each compact fixes its offer's percentage and calculation for both terms. The share creates no ownership or corporate control and is additional to, and independent of, the finite federal Fund repayment.</w:t>
      </w:r>
    </w:p>
    <w:p>
      <w:pPr/>
      <w:r>
        <w:rPr>
          <w:b/>
        </w:rPr>
        <w:t>(b) OPERATING BALANCE AND LOSSES.—</w:t>
      </w:r>
      <w:r>
        <w:t>The Enterprise shall use one consolidated annual cash schedule reconciled to independently audited accounts. Begin with all compact-related operating receipts, including income on operating assets, recoveries of previously deducted costs, and releases required by subsection (e), but excluding loan and equity proceeds, customer refunds, and taxes collected for government. Subtract reasonable, documented ordinary operating costs, market-rate pay for actual work, taxes, and arm's-length interest actually paid. Exclude depreciation, amortization, owner distributions, nonvoting equity or revenue-interest distributions, this State share, and artificial or above-market related-party charges. Taxes shall be computed without deducting this share for purposes of this schedule only. Fund-financed costs are recognized solely through Fund remittances, not again as operating costs or losses. A negative balance becomes an unrecovered operating loss; a positive balance first absorbs prior unrecovered operating losses, oldest first. Record each loss once and reduce its balance when used; there is no historical-loss deduction unrelated to this Enterprise.</w:t>
      </w:r>
    </w:p>
    <w:p>
      <w:pPr/>
      <w:r>
        <w:rPr>
          <w:b/>
        </w:rPr>
        <w:t>(c) PROTECTED BASELINE.—</w:t>
      </w:r>
      <w:r>
        <w:t>From the remaining positive balance deduct, in order and only once: required Fund remittances paid or irrevocably reserved for payment; scheduled arm's-length debt principal to the extent the financed outlay has not already been deducted or included in a loss or allowance; and the following documented amounts, net of existing dedicated funds, insurance, grants, or other financing available for the same purpose. An allowance for working capital, reserves, or investment requires an actual addition to a separately tracked cash account restricted to its stated use:</w:t>
      </w:r>
    </w:p>
    <w:p>
      <w:pPr>
        <w:ind w:left="317"/>
      </w:pPr>
      <w:r>
        <w:t>(1) A working-capital addition limited to the lesser of the forecast operating cash-cycle shortfall and six months of ordinary operating costs, under the published measurement method.</w:t>
      </w:r>
    </w:p>
    <w:p>
      <w:pPr>
        <w:ind w:left="317"/>
      </w:pPr>
      <w:r>
        <w:t>(2) Additions needed to reach measurable reserves for identified legal, insurance, or actuarially supported operating liabilities due within 36 months; a legally required longer reserve is allowed only to the required amount. General business uncertainty is not a reserve target.</w:t>
      </w:r>
    </w:p>
    <w:p>
      <w:pPr>
        <w:ind w:left="317"/>
      </w:pPr>
      <w:r>
        <w:t>(3) Necessary maintenance, replacement, safety, and legally required capital expenditures funded from operating receipts, or additions to a segregated reserve for an itemized project due within 36 months. Debt-funded outlays are recognized only through eligible principal payments, not again as expenditures.</w:t>
      </w:r>
    </w:p>
    <w:p>
      <w:pPr>
        <w:ind w:left="317"/>
      </w:pPr>
      <w:r>
        <w:t>(4) Other necessary productive investment under an itemized plan, limited to the lesser of its independently verified unfunded cost and one-half of the positive balance remaining after paragraphs (1) through (3). The investment must be used within 36 months; an aspiration to expand is insufficient.</w:t>
      </w:r>
    </w:p>
    <w:p>
      <w:pPr/>
      <w:r>
        <w:rPr>
          <w:b/>
        </w:rPr>
        <w:t>(d) PAYMENT.—</w:t>
      </w:r>
      <w:r>
        <w:t>The excess after subsections (b) and (c), never less than zero, is shareable surplus. The annual payment equals that surplus multiplied by the compact's fixed percentage. If there is no positive surplus, no charge, minimum payment, or deferred State assessment is due. Unused optional allowances do not generate losses or carry forward as deductions. Ordinary debt or Fund obligations remain governed by their own terms.</w:t>
      </w:r>
    </w:p>
    <w:p>
      <w:pPr/>
      <w:r>
        <w:rPr>
          <w:b/>
        </w:rPr>
        <w:t>(e) NO DOUBLE DEDUCTION OR DEFERRAL.—</w:t>
      </w:r>
      <w:r>
        <w:t>A ledger shall identify the source, first deduction, permitted use, balance, and deadline of each cost, loss, reserve, and investment allowance. Spending from an already deducted reserve is not deductible again. Amounts exceeding a target, diverted, released unused, or unspent at their original deadline shall return to receipts in that year; deadlines may not be rolled forward by renaming or refinancing a project. Cash-cycle and reserve targets shall be recomputed annually under the offer's unchanged rules. A cost deducted as an expense or loss cannot also support depreciation, debt-principal, capital, or reserve deductions. Transactions with affiliates shall be consolidated or adjusted to independently supportable arm's-length amounts; costs shared with other business shall follow the published allocation method. No agreement may subordinate the State share to a distribution or artificial charge. At compact termination, the Enterprise shall file a closing schedule. Later recoveries or releases of previously deducted allowances remain attributable to the compact term and require supplemental settlement at its fixed rate; termination does not cancel that duty.</w:t>
      </w:r>
    </w:p>
    <w:p>
      <w:pPr/>
      <w:r>
        <w:rPr>
          <w:b/>
        </w:rPr>
        <w:t>(f) PUBLIC METHOD AND REVIEW.—</w:t>
      </w:r>
      <w:r>
        <w:t>Before publication of any offer, rules shall establish common accounting forms, allocation and valuation methods, audit standards, and any stricter uniform numerical limits within this section. Neither negotiated exceptions nor post-match changes to the financial baseline are permitted. The Enterprise shall file its audited schedule and pay within 150 days after fiscal-year end. The Agency may inspect inputs, require supporting records, and issue a reasoned correction. An independent administrative adjudicator shall hear a calculation appeal filed within 60 days; the undisputed amount remains due, and the adjudicator may stay collection of a genuinely disputed amount. Review may correct facts, arithmetic, or classification under the published rules, but may not change a rate, invent an allowance, or renegotiate a compact. A final overpayment shall be refunded from the account or credited at the Enterprise's election under lawful appropriation procedures.</w:t>
      </w:r>
    </w:p>
    <w:p>
      <w:pPr/>
      <w:r>
        <w:rPr>
          <w:b/>
        </w:rPr>
        <w:t>(g) LAND ACCOUNT.—</w:t>
      </w:r>
      <w:r>
        <w:t>The Treasurer shall credit all share receipts and account earnings to a separately accounted Cornerstone Land Acquisition Account. The balance shall be carried forward, subject to the State constitution, and spent only pursuant to appropriation for voluntary, independently appraised acquisition of land or interests in land for authorized public purposes and directly associated closing costs. The account creates no new eminent-domain power, borrowing authority, corporate interest, or right to direct an Enterprise. Its receipts, holdings, and acquisitions shall be reported and independently audited annually. No acquisition or transfer bypasses ordinary public procurement, land-disposition, or constitutional requirements.</w:t>
      </w:r>
    </w:p>
    <w:p>
      <w:pPr>
        <w:pStyle w:val="Heading1"/>
        <w:keepNext/>
      </w:pPr>
      <w:r>
        <w:t>Section 6 Independent supervision and enforcement</w:t>
      </w:r>
    </w:p>
    <w:p>
      <w:pPr/>
      <w:r>
        <w:rPr>
          <w:b/>
        </w:rPr>
        <w:t>(a) INDEPENDENCE.—</w:t>
      </w:r>
      <w:r>
        <w:t>The Supervisor and adjudicator shall be public officials independent of the Association, its investors, and active participants in the regulated market. They shall disclose financial and employment conflicts and recuse where impartiality is impaired. The Agency shall use an unconflicted official lawfully designated to act; regulated persons may advise but may not control appointments or decisions. Officials personally and substantially deciding compact matters may not accept compensated work concerning those matters from the affected Association or investors for two years after leaving that role.</w:t>
      </w:r>
    </w:p>
    <w:p>
      <w:pPr/>
      <w:r>
        <w:rPr>
          <w:b/>
        </w:rPr>
        <w:t>(b) ACTUAL SUPERVISION.—</w:t>
      </w:r>
      <w:r>
        <w:t>Before material prices or pricing methods, access or exclusion rules, or service changes take effect, the Supervisor shall independently examine evidence, receive public comment, and issue a reasoned approval, modification, or rejection applying the Sector Act's standards, reasonable consumer protection, and nondiscrimination. Approved methods may govern routine transactions; material departures require new review. The Supervisor shall inspect safety compliance, investigate complaints, require corrective action, and review actual implementation at least annually. Silence is not approval. The Association may neither license competitors nor exercise public enforcement powers. Ordinary sector regulators retain their authority.</w:t>
      </w:r>
    </w:p>
    <w:p>
      <w:pPr/>
      <w:r>
        <w:rPr>
          <w:b/>
        </w:rPr>
        <w:t>(c) MATERIAL VIOLATIONS.—</w:t>
      </w:r>
      <w:r>
        <w:t>Nonrenewal requires an uncured material breach of the compact or loss of beneficiary control. Revocation before expiration is limited to a material safety violation, fraud, corruption, actual defeat of beneficiary voting control, or repeated failure to provide required service. The Agency bears the burden by a preponderance of evidence. It shall specify facts and breached provisions in written notice, allow at least 60 days to respond and cure where cure is possible, and provide an evidentiary hearing before an unconflicted adjudicator. The final public order shall state findings, proportionate relief, cure failures, and judicial-review rights. Good-faith financial calculation disputes are resolved under section 5(f), not by threatened revocation. Political disagreement, member inactivity, or later employment is not cause.</w:t>
      </w:r>
    </w:p>
    <w:p>
      <w:pPr/>
      <w:r>
        <w:rPr>
          <w:b/>
        </w:rPr>
        <w:t>(d) SUSPENSION AND CONTROL.—</w:t>
      </w:r>
      <w:r>
        <w:t>An emergency suspension requires written findings of imminent serious harm, shall be no broader than necessary, and shall receive a hearing within 10 days and prompt judicial review. A forbidden transfer of the compact or founding units is void. Upon final adjudication that beneficiary voting control has actually been sold, pledged, or otherwise defeated, the exclusive right terminates by operation of law, subject to judicial stay or reversal. Neither investors nor the State acquire it. On other material violations the adjudicator shall consider available correction before revocation. A lapse in public supervision must be cured through public authority, not by transferring regulatory power to the Association.</w:t>
      </w:r>
    </w:p>
    <w:p>
      <w:pPr/>
      <w:r>
        <w:rPr>
          <w:b/>
        </w:rPr>
        <w:t>(e) DISCLOSURE.—</w:t>
      </w:r>
      <w:r>
        <w:t>The compact, material amendments, investor rights and beneficial ownership, annual financial and control audit summaries, and regulatory decisions shall be public on the Exchange. Members retain inspection rights under the Federal Act. The Agency shall protect legally confidential personal and business records while publishing the grounds for decisions. Associations and controlled entities may not contribute politically to officials or candidates for offices supervising their compact; personal member activity remains protected. Existing stronger ethics, anti-corruption, and disclosure law remains applicable.</w:t>
      </w:r>
    </w:p>
    <w:p>
      <w:pPr>
        <w:pStyle w:val="Heading1"/>
        <w:keepNext/>
      </w:pPr>
      <w:r>
        <w:t>Section 7 Judicial review and construction</w:t>
      </w:r>
    </w:p>
    <w:p>
      <w:pPr/>
      <w:r>
        <w:rPr>
          <w:b/>
        </w:rPr>
        <w:t>(a) REVIEW AND ENFORCEMENT.—</w:t>
      </w:r>
      <w:r>
        <w:t>A person suffering legal injury from final Agency action under this Act may seek review in the State trial court of general jurisdiction where the Agency is headquartered within 90 days after legally sufficient notice. Applicable State tolling and longer constitutionally required periods remain available. The court shall independently decide law, review factual findings for substantial evidence on the whole record, set aside arbitrary or unlawful action, compel unlawfully withheld action, and grant appropriate interim relief. A claim under section 5(f) first proceeds through its administrative appeal. The State consents to declaratory and equitable relief, including enforcement of a valid compact, in its courts under this subsection; this Act creates no damages remedy or federal-court waiver of State immunity. Existing remedies are preserved.</w:t>
      </w:r>
    </w:p>
    <w:p>
      <w:pPr/>
      <w:r>
        <w:rPr>
          <w:b/>
        </w:rPr>
        <w:t>(b) FEDERAL AND STATE ROLES.—</w:t>
      </w:r>
      <w:r>
        <w:t>A challenge to a federal determination belongs in the forum specified by the Federal Act, not in a State recertification proceeding. Nothing here displaces ordinary antitrust law beyond conduct lawfully protected by the state-action doctrine; actual authorization and supervision remain necessary. Nothing waives federal prohibitions, binds a nonparticipating jurisdiction, impairs tribal rights, or overrides the State constitution. The Agency shall report material authorization failures to federal Labor and Commerce.</w:t>
      </w:r>
    </w:p>
    <w:p>
      <w:pPr/>
      <w:r>
        <w:rPr>
          <w:b/>
        </w:rPr>
        <w:t>(c) SEVERABILITY AND EFFECT.—</w:t>
      </w:r>
      <w:r>
        <w:t>This Act takes effect upon enactment; no offer may proceed before the Federal Act, Agency designation, Sector Act, Rate Act, required rules, approvals, and funding are effective. Participation may cease for future offers by general law without administratively cancelling existing compacts. Invalid provisions are severable, but no exclusive right may continue without lawful authority, the no-new-harm test, beneficiary control, effective authorizations, and independent supervision. The State shall provide notice and seek judicially supervised resolution of an affected compact rather than presume that a severability clause cures invalid authority.</w:t>
      </w:r>
    </w:p>
    <w:p>
      <w:r>
        <w:br w:type="page"/>
      </w:r>
    </w:p>
    <w:p>
      <w:pPr>
        <w:pStyle w:val="Heading1"/>
        <w:keepNext/>
      </w:pPr>
      <w:r>
        <w:t>Source and drafting notes</w:t>
      </w:r>
    </w:p>
    <w:p>
      <w:pPr>
        <w:pStyle w:val="DraftingNote"/>
      </w:pPr>
      <w:r>
        <w:rPr>
          <w:b/>
        </w:rPr>
        <w:t>These notes are not part of the Act.</w:t>
      </w:r>
      <w:r>
        <w:t xml:space="preserve"> Research checked 28 September 2026. The model is paired with the Federal Cornerstone Bill and requires an adopting State's legislative and constitutional choices before any offer opens.</w:t>
      </w:r>
    </w:p>
    <w:p>
      <w:pPr>
        <w:pStyle w:val="DraftingNote"/>
      </w:pPr>
      <w:r>
        <w:rPr>
          <w:b/>
        </w:rPr>
        <w:t>Source fidelity.</w:t>
      </w:r>
      <w:r>
        <w:t xml:space="preserve"> The supplied Policy Paper, Parts V–XII, and Design Commentary, decisions 8–21 and 19A, govern the text; the speech confirms voluntary membership, sealed matching, and enterprise-only repayment. The census and all six workbook sheets are research evidence only. Neither Act certifies their entries or imports their broader material-effect screen. The 2,500-member default, single successor, 30-year term, single automatic 10-year renewal, worker control, private nonvoting investment, and separate Fund and State payments are preserved.</w:t>
      </w:r>
    </w:p>
    <w:p>
      <w:pPr>
        <w:pStyle w:val="DraftingNote"/>
      </w:pPr>
      <w:r>
        <w:rPr>
          <w:b/>
        </w:rPr>
        <w:t>Financial choices.</w:t>
      </w:r>
      <w:r>
        <w:t xml:space="preserve"> The sources settle neither a State percentage nor detailed accounting horizons. Section 5 selects a uniform rate enacted prospectively by the Legislature after a public fiscal report; an administrator cannot fill that gap by bargaining. It uses a cash schedule reconciled to audited accounts, a six-month maximum working-capital allowance, generally 36-month reserves and project deadlines, and a growth-investment deduction capped at half the remaining balance. These are proposed implementation choices, not source numbers or the State's surplus-share percentage. Costs are recognized once; ordinary losses carry forward, allowances expire, and distributions cannot erase the share. Investor returns and Fund repayment must be modeled against these limits before a State fixes its rate.</w:t>
      </w:r>
    </w:p>
    <w:p>
      <w:pPr>
        <w:pStyle w:val="DraftingNote"/>
      </w:pPr>
      <w:r>
        <w:rPr>
          <w:b/>
        </w:rPr>
        <w:t>State enactment choices.</w:t>
      </w:r>
      <w:r>
        <w:t xml:space="preserve"> Counsel must identify the Agency, authorized trade and legal prohibitions, districts and local-consent rules, substantive sector standards, ordinary entry regime at expiration, and the Rate Act's percentage. Counsel must conform judicial venue, hearing procedure, succession and corporation law, tax or fee classification, refund and appropriation mechanics, and account restrictions to State law. The Attorney General's review is a prerequisite, not a judicial guarantee. The Act authorizes neither public credit nor compulsory acquisition for the land account. The State share ends with the compact, leaving accrued amounts payable; the separate federal repayment ends upon recovery of its fixed total.</w:t>
      </w:r>
    </w:p>
    <w:p>
      <w:pPr>
        <w:pStyle w:val="DraftingNote"/>
      </w:pPr>
      <w:r>
        <w:rPr>
          <w:b/>
        </w:rPr>
        <w:t>Constitutional constraints.</w:t>
      </w:r>
      <w:r>
        <w:t xml:space="preserve"> North Carolina Constitution, Article I, sections 32–34, separately addresses exclusive privileges, hereditary emoluments, and monopolies; Article V, section 2, addresses taxation, public purposes, and appropriations. Washington Constitution, Article I, sections 8, 12, and 28, addresses irrevocable, unequal, and hereditary privileges, and Article VIII restricts public credit and expenditures. These illustrate why a general enabling act, inheritable membership, a stated public purpose, or a federal label cannot establish universal validity. A referendum or amendment may be necessary; a compact must await it. Forty-year exclusivity, legislative control of future taxation, police powers, home rule, special legislation, and contract enforcement require State-specific analysis. Primary texts: </w:t>
      </w:r>
      <w:hyperlink r:id="rId9">
        <w:r>
          <w:rPr>
            <w:color w:val="000000"/>
            <w:u w:val="single"/>
          </w:rPr>
          <w:t>North Carolina Article I</w:t>
        </w:r>
      </w:hyperlink>
      <w:r>
        <w:t xml:space="preserve"> ; </w:t>
      </w:r>
      <w:hyperlink r:id="rId10">
        <w:r>
          <w:rPr>
            <w:color w:val="000000"/>
            <w:u w:val="single"/>
          </w:rPr>
          <w:t>North Carolina Article V</w:t>
        </w:r>
      </w:hyperlink>
      <w:r>
        <w:t xml:space="preserve"> ; </w:t>
      </w:r>
      <w:hyperlink r:id="rId11">
        <w:r>
          <w:rPr>
            <w:color w:val="000000"/>
            <w:u w:val="single"/>
          </w:rPr>
          <w:t>Washington Constitution</w:t>
        </w:r>
      </w:hyperlink>
      <w:r/>
    </w:p>
    <w:p>
      <w:pPr>
        <w:pStyle w:val="DraftingNote"/>
      </w:pPr>
      <w:r>
        <w:rPr>
          <w:b/>
        </w:rPr>
        <w:t>Competition and interstate access.</w:t>
      </w:r>
      <w:r>
        <w:t xml:space="preserve"> North Carolina State Board of Dental Examiners v. FTC, 574 U.S. 494, 515 (2015), supports substantive public review with power to reject or modify anticompetitive decisions; nominal supervision is inadequate. FTC Staff Guidance on Active Supervision (2015) is explanatory staff guidance, not a binding safe harbor. Section 6 separates public regulatory decisions from corporate ownership. Murphy v. NCAA, 584 U.S. 453 (2018), informs the voluntary structure; Tennessee Wine &amp; Spirits Retailers Ass'n v. Thomas, 588 U.S. 504 (2019), informs the bar on residence preferences. Primary texts: </w:t>
      </w:r>
      <w:hyperlink r:id="rId12">
        <w:r>
          <w:rPr>
            <w:color w:val="000000"/>
            <w:u w:val="single"/>
          </w:rPr>
          <w:t>North Carolina Dental opinion</w:t>
        </w:r>
      </w:hyperlink>
      <w:r>
        <w:t xml:space="preserve"> ; </w:t>
      </w:r>
      <w:hyperlink r:id="rId13">
        <w:r>
          <w:rPr>
            <w:color w:val="000000"/>
            <w:u w:val="single"/>
          </w:rPr>
          <w:t>FTC staff guidance</w:t>
        </w:r>
      </w:hyperlink>
      <w:r>
        <w:t xml:space="preserve"> ; </w:t>
      </w:r>
      <w:hyperlink r:id="rId14">
        <w:r>
          <w:rPr>
            <w:color w:val="000000"/>
            <w:u w:val="single"/>
          </w:rPr>
          <w:t>Murphy opinion</w:t>
        </w:r>
      </w:hyperlink>
      <w:r>
        <w:t xml:space="preserve"> ; </w:t>
      </w:r>
      <w:hyperlink r:id="rId15">
        <w:r>
          <w:rPr>
            <w:color w:val="000000"/>
            <w:u w:val="single"/>
          </w:rPr>
          <w:t>Tennessee Wine opinion</w:t>
        </w:r>
      </w:hyperlink>
      <w:r/>
    </w:p>
    <w:p>
      <w:pPr>
        <w:pStyle w:val="DraftingNote"/>
      </w:pPr>
      <w:r>
        <w:rPr>
          <w:b/>
        </w:rPr>
        <w:t>Federal authorization and review.</w:t>
      </w:r>
      <w:r>
        <w:t xml:space="preserve"> The Federal Act supplies eligibility, charters, matching, and limited financing; the State supplies legal entry, the compact, supervision, its surplus share, and State review. A federally prohibited trade needs an express congressional authorization identifying the displaced provisions before ranking, followed by required implementing permissions. This model does not legalize an unspecified federal trade. Federal administrative review is addressed by 5 U.S.C. 702–706 and Loper Bright Enterprises v. Raimondo, 603 U.S. 369 (2024); section 7 separately supplies an express State remedy without promising profits or creating State damages liability. Primary texts: </w:t>
      </w:r>
      <w:hyperlink r:id="rId16">
        <w:r>
          <w:rPr>
            <w:color w:val="000000"/>
            <w:u w:val="single"/>
          </w:rPr>
          <w:t>5 U.S.C. chapter 7</w:t>
        </w:r>
      </w:hyperlink>
      <w:r>
        <w:t xml:space="preserve"> ; </w:t>
      </w:r>
      <w:hyperlink r:id="rId17">
        <w:r>
          <w:rPr>
            <w:color w:val="000000"/>
            <w:u w:val="single"/>
          </w:rPr>
          <w:t>Loper Bright opinion</w:t>
        </w:r>
      </w:hyperlink>
      <w:r/>
    </w:p>
    <w:sectPr w:rsidR="00FC693F" w:rsidRPr="0006063C" w:rsidSect="00034616">
      <w:footerReference w:type="default" r:id="rId18"/>
      <w:pgSz w:w="12240" w:h="15840"/>
      <w:pgMar w:top="1152" w:right="1296" w:bottom="1152" w:left="1296"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sz w:val="18"/>
      </w:rPr>
      <w:t xml:space="preserve">Page </w:t>
    </w:r>
    <w:fldSimple w:instr="PAGE">
      <w:r>
        <w:t>1</w:t>
      </w:r>
    </w:fldSimple>
    <w:r>
      <w:rPr>
        <w:sz w:val="18"/>
      </w:rPr>
      <w:t xml:space="preserve"> of </w:t>
    </w:r>
    <w:fldSimple w:instr="NUMPAGES">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5" w:lineRule="auto" w:after="80"/>
    </w:pPr>
    <w:rPr>
      <w:rFonts w:ascii="Times New Roman" w:hAnsi="Times New Roman" w:cs="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eastAsia="Times New Roman"/>
      <w:color w:val="000000"/>
    </w:rPr>
  </w:style>
  <w:style w:type="character" w:customStyle="1" w:styleId="HeaderChar">
    <w:name w:val="Header Char"/>
    <w:basedOn w:val="DefaultParagraphFont"/>
    <w:link w:val="Header"/>
    <w:uiPriority w:val="99"/>
    <w:rsid w:val="00E618BF"/>
    <w:rPr>
      <w:rFonts w:ascii="Times New Roman" w:hAnsi="Times New Roman" w:cs="Times New Roman" w:eastAsia="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Times New Roman"/>
      <w:color w:val="000000"/>
      <w:sz w:val="18"/>
    </w:rPr>
  </w:style>
  <w:style w:type="character" w:customStyle="1" w:styleId="FooterChar">
    <w:name w:val="Footer Char"/>
    <w:basedOn w:val="DefaultParagraphFont"/>
    <w:link w:val="Footer"/>
    <w:uiPriority w:val="99"/>
    <w:rsid w:val="00E618BF"/>
    <w:rPr>
      <w:rFonts w:ascii="Times New Roman" w:hAnsi="Times New Roman" w:cs="Times New Roman" w:eastAsia="Times New Roman"/>
      <w:color w:val="000000"/>
    </w:rPr>
  </w:style>
  <w:style w:type="paragraph" w:styleId="Heading1">
    <w:name w:val="heading 1"/>
    <w:basedOn w:val="Normal"/>
    <w:next w:val="Normal"/>
    <w:link w:val="Heading1Char"/>
    <w:uiPriority w:val="9"/>
    <w:qFormat/>
    <w:rsid w:val="00FC693F"/>
    <w:pPr>
      <w:keepNext/>
      <w:keepLines/>
      <w:spacing w:before="160" w:after="100"/>
      <w:outlineLvl w:val="0"/>
    </w:pPr>
    <w:rPr>
      <w:rFonts w:cstheme="majorBidi" w:ascii="Times New Roman" w:hAnsi="Times New Roman" w:cs="Times New Roman" w:eastAsia="Times New Roman"/>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cs="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cs="Times New Roman" w:eastAsia="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s="Times New Roman" w:eastAsia="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cs="Times New Roman" w:eastAsia="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cs="Times New Roman" w:eastAsia="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s="Times New Roman" w:eastAsia="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cs="Times New Roman" w:eastAsia="Times New Roman"/>
      <w:i/>
      <w:iCs/>
      <w:color w:val="000000"/>
      <w:sz w:val="20"/>
      <w:szCs w:val="20"/>
    </w:rPr>
  </w:style>
  <w:style w:type="character" w:default="1" w:styleId="DefaultParagraphFont">
    <w:name w:val="Default Paragraph Font"/>
    <w:uiPriority w:val="1"/>
    <w:semiHidden/>
    <w:unhideWhenUsed/>
    <w:rPr>
      <w:rFonts w:ascii="Times New Roman" w:hAnsi="Times New Roman" w:cs="Times New Roman" w:eastAsia="Times New Roman"/>
      <w:color w:val="000000"/>
    </w:rPr>
  </w:style>
  <w:style w:type="table" w:default="1" w:styleId="TableNormal">
    <w:name w:val="Normal Table"/>
    <w:uiPriority w:val="99"/>
    <w:semiHidden/>
    <w:unhideWhenUsed/>
    <w:rPr>
      <w:rFonts w:ascii="Times New Roman" w:hAnsi="Times New Roman" w:cs="Times New Roman" w:eastAsia="Times New Roman"/>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s="Times New Roman" w:eastAsia="Times New Roman"/>
      <w:color w:val="000000"/>
    </w:rPr>
  </w:style>
  <w:style w:type="character" w:customStyle="1" w:styleId="Heading1Char">
    <w:name w:val="Heading 1 Char"/>
    <w:basedOn w:val="DefaultParagraphFont"/>
    <w:link w:val="Heading1"/>
    <w:uiPriority w:val="9"/>
    <w:rsid w:val="00FC693F"/>
    <w:rPr>
      <w:rFonts w:cstheme="majorBidi" w:ascii="Times New Roman" w:hAnsi="Times New Roman" w:cs="Times New Roman" w:eastAsia="Times New Roman"/>
      <w:b/>
      <w:bCs/>
      <w:color w:val="000000"/>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cs="Times New Roman" w:eastAsia="Times New Roman"/>
      <w:b/>
      <w:bCs/>
      <w:color w:val="000000"/>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cs="Times New Roman" w:eastAsia="Times New Roman"/>
      <w:b/>
      <w:bCs/>
      <w:color w:val="000000"/>
    </w:rPr>
  </w:style>
  <w:style w:type="paragraph" w:styleId="Title">
    <w:name w:val="Title"/>
    <w:basedOn w:val="Normal"/>
    <w:next w:val="Normal"/>
    <w:link w:val="TitleChar"/>
    <w:uiPriority w:val="10"/>
    <w:qFormat/>
    <w:rsid w:val="00FC693F"/>
    <w:pPr>
      <w:keepNext/>
      <w:spacing w:after="80" w:line="240" w:lineRule="auto"/>
      <w:contextualSpacing/>
    </w:pPr>
    <w:rPr>
      <w:rFonts w:cstheme="majorBidi" w:ascii="Times New Roman" w:hAnsi="Times New Roman" w:cs="Times New Roman" w:eastAsia="Times New Roman"/>
      <w:b/>
      <w:color w:val="000000"/>
      <w:spacing w:val="5"/>
      <w:kern w:val="28"/>
      <w:sz w:val="34"/>
      <w:szCs w:val="52"/>
    </w:rPr>
  </w:style>
  <w:style w:type="character" w:customStyle="1" w:styleId="TitleChar">
    <w:name w:val="Title Char"/>
    <w:basedOn w:val="DefaultParagraphFont"/>
    <w:link w:val="Title"/>
    <w:uiPriority w:val="10"/>
    <w:rsid w:val="00FC693F"/>
    <w:rPr>
      <w:rFonts w:cstheme="majorBidi" w:ascii="Times New Roman" w:hAnsi="Times New Roman" w:cs="Times New Roman" w:eastAsia="Times New Roman"/>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cstheme="majorBidi" w:ascii="Times New Roman" w:hAnsi="Times New Roman" w:cs="Times New Roman" w:eastAsia="Times New Roman"/>
      <w:i w:val="0"/>
      <w:iCs/>
      <w:color w:val="000000"/>
      <w:spacing w:val="15"/>
      <w:sz w:val="23"/>
      <w:szCs w:val="24"/>
    </w:rPr>
  </w:style>
  <w:style w:type="character" w:customStyle="1" w:styleId="SubtitleChar">
    <w:name w:val="Subtitle Char"/>
    <w:basedOn w:val="DefaultParagraphFont"/>
    <w:link w:val="Subtitle"/>
    <w:uiPriority w:val="11"/>
    <w:rsid w:val="00FC693F"/>
    <w:rPr>
      <w:rFonts w:cstheme="majorBidi" w:ascii="Times New Roman" w:hAnsi="Times New Roman" w:cs="Times New Roman" w:eastAsia="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eastAsia="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Times New Roman"/>
      <w:color w:val="000000"/>
    </w:rPr>
  </w:style>
  <w:style w:type="character" w:customStyle="1" w:styleId="BodyTextChar">
    <w:name w:val="Body Text Char"/>
    <w:basedOn w:val="DefaultParagraphFont"/>
    <w:link w:val="BodyText"/>
    <w:uiPriority w:val="99"/>
    <w:rsid w:val="00AA1D8D"/>
    <w:rPr>
      <w:rFonts w:ascii="Times New Roman" w:hAnsi="Times New Roman" w:cs="Times New Roman" w:eastAsia="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eastAsia="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cs="Times New Roman" w:eastAsia="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cs="Times New Roman" w:eastAsia="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cs="Times New Roman" w:eastAsia="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s="Times New Roman" w:eastAsia="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s="Times New Roman" w:eastAsia="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eastAsia="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eastAsia="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eastAsia="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eastAsia="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eastAsia="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eastAsia="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eastAsia="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cs="Times New Roman" w:eastAsia="Times New Roman"/>
      <w:i/>
      <w:iCs/>
      <w:color w:val="000000"/>
    </w:rPr>
  </w:style>
  <w:style w:type="character" w:customStyle="1" w:styleId="QuoteChar">
    <w:name w:val="Quote Char"/>
    <w:basedOn w:val="DefaultParagraphFont"/>
    <w:link w:val="Quote"/>
    <w:uiPriority w:val="29"/>
    <w:rsid w:val="00FC693F"/>
    <w:rPr>
      <w:rFonts w:ascii="Times New Roman" w:hAnsi="Times New Roman" w:cs="Times New Roman" w:eastAsia="Times New Roman"/>
      <w:i/>
      <w:iCs/>
      <w:color w:val="000000"/>
    </w:rPr>
  </w:style>
  <w:style w:type="character" w:customStyle="1" w:styleId="Heading4Char">
    <w:name w:val="Heading 4 Char"/>
    <w:basedOn w:val="DefaultParagraphFont"/>
    <w:link w:val="Heading4"/>
    <w:uiPriority w:val="9"/>
    <w:semiHidden/>
    <w:rsid w:val="00FC693F"/>
    <w:rPr>
      <w:rFonts w:cstheme="majorBidi" w:ascii="Times New Roman" w:hAnsi="Times New Roman" w:cs="Times New Roman" w:eastAsia="Times New Roman"/>
      <w:b/>
      <w:bCs/>
      <w:i/>
      <w:iCs/>
      <w:color w:val="000000"/>
    </w:rPr>
  </w:style>
  <w:style w:type="character" w:customStyle="1" w:styleId="Heading5Char">
    <w:name w:val="Heading 5 Char"/>
    <w:basedOn w:val="DefaultParagraphFont"/>
    <w:link w:val="Heading5"/>
    <w:uiPriority w:val="9"/>
    <w:semiHidden/>
    <w:rsid w:val="00FC693F"/>
    <w:rPr>
      <w:rFonts w:cstheme="majorBidi" w:ascii="Times New Roman" w:hAnsi="Times New Roman" w:cs="Times New Roman" w:eastAsia="Times New Roman"/>
      <w:color w:val="000000"/>
    </w:rPr>
  </w:style>
  <w:style w:type="character" w:customStyle="1" w:styleId="Heading6Char">
    <w:name w:val="Heading 6 Char"/>
    <w:basedOn w:val="DefaultParagraphFont"/>
    <w:link w:val="Heading6"/>
    <w:uiPriority w:val="9"/>
    <w:semiHidden/>
    <w:rsid w:val="00FC693F"/>
    <w:rPr>
      <w:rFonts w:cstheme="majorBidi" w:ascii="Times New Roman" w:hAnsi="Times New Roman" w:cs="Times New Roman" w:eastAsia="Times New Roman"/>
      <w:i/>
      <w:iCs/>
      <w:color w:val="000000"/>
    </w:rPr>
  </w:style>
  <w:style w:type="character" w:customStyle="1" w:styleId="Heading7Char">
    <w:name w:val="Heading 7 Char"/>
    <w:basedOn w:val="DefaultParagraphFont"/>
    <w:link w:val="Heading7"/>
    <w:uiPriority w:val="9"/>
    <w:semiHidden/>
    <w:rsid w:val="00FC693F"/>
    <w:rPr>
      <w:rFonts w:cstheme="majorBidi" w:ascii="Times New Roman" w:hAnsi="Times New Roman" w:cs="Times New Roman" w:eastAsia="Times New Roman"/>
      <w:i/>
      <w:iCs/>
      <w:color w:val="000000"/>
    </w:rPr>
  </w:style>
  <w:style w:type="character" w:customStyle="1" w:styleId="Heading8Char">
    <w:name w:val="Heading 8 Char"/>
    <w:basedOn w:val="DefaultParagraphFont"/>
    <w:link w:val="Heading8"/>
    <w:uiPriority w:val="9"/>
    <w:semiHidden/>
    <w:rsid w:val="00FC693F"/>
    <w:rPr>
      <w:rFonts w:cstheme="majorBidi" w:ascii="Times New Roman" w:hAnsi="Times New Roman" w:cs="Times New Roman" w:eastAsia="Times New Roman"/>
      <w:color w:val="000000"/>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cs="Times New Roman" w:eastAsia="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000000"/>
      <w:sz w:val="18"/>
      <w:szCs w:val="18"/>
    </w:rPr>
  </w:style>
  <w:style w:type="character" w:styleId="Strong">
    <w:name w:val="Strong"/>
    <w:basedOn w:val="DefaultParagraphFont"/>
    <w:uiPriority w:val="22"/>
    <w:qFormat/>
    <w:rsid w:val="00FC693F"/>
    <w:rPr>
      <w:rFonts w:ascii="Times New Roman" w:hAnsi="Times New Roman" w:cs="Times New Roman" w:eastAsia="Times New Roman"/>
      <w:b/>
      <w:bCs/>
      <w:color w:val="000000"/>
    </w:rPr>
  </w:style>
  <w:style w:type="character" w:styleId="Emphasis">
    <w:name w:val="Emphasis"/>
    <w:basedOn w:val="DefaultParagraphFont"/>
    <w:uiPriority w:val="20"/>
    <w:qFormat/>
    <w:rsid w:val="00FC693F"/>
    <w:rPr>
      <w:rFonts w:ascii="Times New Roman" w:hAnsi="Times New Roman" w:cs="Times New Roman" w:eastAsia="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cs="Times New Roman" w:eastAsia="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Times New Roman"/>
      <w:b/>
      <w:bCs/>
      <w:i/>
      <w:iCs/>
      <w:color w:val="000000"/>
    </w:rPr>
  </w:style>
  <w:style w:type="character" w:styleId="SubtleEmphasis">
    <w:name w:val="Subtle Emphasis"/>
    <w:basedOn w:val="DefaultParagraphFont"/>
    <w:uiPriority w:val="19"/>
    <w:qFormat/>
    <w:rsid w:val="00FC693F"/>
    <w:rPr>
      <w:rFonts w:ascii="Times New Roman" w:hAnsi="Times New Roman" w:cs="Times New Roman" w:eastAsia="Times New Roman"/>
      <w:i/>
      <w:iCs/>
      <w:color w:val="000000"/>
    </w:rPr>
  </w:style>
  <w:style w:type="character" w:styleId="IntenseEmphasis">
    <w:name w:val="Intense Emphasis"/>
    <w:basedOn w:val="DefaultParagraphFont"/>
    <w:uiPriority w:val="21"/>
    <w:qFormat/>
    <w:rsid w:val="00FC693F"/>
    <w:rPr>
      <w:rFonts w:ascii="Times New Roman" w:hAnsi="Times New Roman" w:cs="Times New Roman" w:eastAsia="Times New Roman"/>
      <w:b/>
      <w:bCs/>
      <w:i/>
      <w:iCs/>
      <w:color w:val="000000"/>
    </w:rPr>
  </w:style>
  <w:style w:type="character" w:styleId="SubtleReference">
    <w:name w:val="Subtle Reference"/>
    <w:basedOn w:val="DefaultParagraphFont"/>
    <w:uiPriority w:val="31"/>
    <w:qFormat/>
    <w:rsid w:val="00FC693F"/>
    <w:rPr>
      <w:rFonts w:ascii="Times New Roman" w:hAnsi="Times New Roman" w:cs="Times New Roman" w:eastAsia="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cs="Times New Roman" w:eastAsia="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cs="Times New Roman" w:eastAsia="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Times New Roman"/>
      <w:color w:val="000000"/>
    </w:rPr>
  </w:style>
  <w:style w:type="table" w:styleId="TableGrid">
    <w:name w:val="Table Grid"/>
    <w:basedOn w:val="TableNormal"/>
    <w:uiPriority w:val="59"/>
    <w:rsid w:val="00FC693F"/>
    <w:pPr>
      <w:spacing w:after="0" w:line="240" w:lineRule="auto"/>
    </w:pPr>
    <w:rPr>
      <w:rFonts w:ascii="Times New Roman" w:hAnsi="Times New Roman" w:cs="Times New Roman" w:eastAsia="Times New Roman"/>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ftingNote">
    <w:name w:val="Drafting Note"/>
    <w:basedOn w:val="Normal"/>
    <w:pPr>
      <w:spacing w:line="245" w:lineRule="auto" w:after="120"/>
    </w:pPr>
    <w:rPr>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leg.gov/Laws/Constitution/Article1" TargetMode="External"/><Relationship Id="rId10" Type="http://schemas.openxmlformats.org/officeDocument/2006/relationships/hyperlink" Target="https://www.ncleg.gov/Laws/Constitution/Article5" TargetMode="External"/><Relationship Id="rId11" Type="http://schemas.openxmlformats.org/officeDocument/2006/relationships/hyperlink" Target="https://leg.wa.gov/media/o3fg0ey1/washington-state-constitution.pdf" TargetMode="External"/><Relationship Id="rId12" Type="http://schemas.openxmlformats.org/officeDocument/2006/relationships/hyperlink" Target="https://www.ftc.gov/system/files/documents/cases/150225ncdentalopinion.pdf" TargetMode="External"/><Relationship Id="rId13" Type="http://schemas.openxmlformats.org/officeDocument/2006/relationships/hyperlink" Target="https://www.ftc.gov/system/files/attachments/competition-policy-guidance/active_supervision_of_state_boards.pdf" TargetMode="External"/><Relationship Id="rId14" Type="http://schemas.openxmlformats.org/officeDocument/2006/relationships/hyperlink" Target="https://www.supremecourt.gov/opinions/17pdf/16-476_dbfi.pdf" TargetMode="External"/><Relationship Id="rId15" Type="http://schemas.openxmlformats.org/officeDocument/2006/relationships/hyperlink" Target="https://www.supremecourt.gov/opinions/18pdf/18-96_5i36.pdf" TargetMode="External"/><Relationship Id="rId16" Type="http://schemas.openxmlformats.org/officeDocument/2006/relationships/hyperlink" Target="https://uscode.house.gov/view.xhtml?edition=prelim&amp;path=%2Fprelim%40title5%2Fpart1%2Fchapter7" TargetMode="External"/><Relationship Id="rId17" Type="http://schemas.openxmlformats.org/officeDocument/2006/relationships/hyperlink" Target="https://www.supremecourt.gov/opinions/23pdf/22-451_7m58.pdf" TargetMode="Externa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State Cornerstone Enabling Act</dc:title>
  <dc:subject>Cornerstone legislative proposal and separate source and drafting notes</dc:subject>
  <dc:creator/>
  <cp:keywords>Cornerstone; legislative proposal</cp:keywords>
  <dc:description>generated by python-docx</dc:description>
  <cp:lastModifiedBy/>
  <cp:revision>1</cp:revision>
  <dcterms:created xsi:type="dcterms:W3CDTF">2013-12-23T23:15:00Z</dcterms:created>
  <dcterms:modified xsi:type="dcterms:W3CDTF">2013-12-23T23:15:00Z</dcterms:modified>
  <cp:category/>
</cp:coreProperties>
</file>