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
    <w:p/>
    <w:p/>
    <w:p>
      <w:pPr>
        <w:pStyle w:val="Subtitle"/>
        <w:spacing w:after="360"/>
        <w:jc w:val="center"/>
      </w:pPr>
      <w:r>
        <w:rPr>
          <w:b/>
          <w:color w:val="C23B32"/>
        </w:rPr>
        <w:t>PHILLIP GALINSKY FOR AMERICA 2028</w:t>
      </w:r>
    </w:p>
    <w:p>
      <w:pPr>
        <w:pStyle w:val="Title"/>
        <w:jc w:val="center"/>
      </w:pPr>
      <w:r>
        <w:t>THE CORNERSTONE</w:t>
      </w:r>
    </w:p>
    <w:p>
      <w:pPr>
        <w:pStyle w:val="Subtitle"/>
        <w:spacing w:after="360"/>
        <w:jc w:val="center"/>
      </w:pPr>
      <w:r>
        <w:t>Restoring Economic Liberty to Workers Deliberately Displaced by Government</w:t>
      </w:r>
    </w:p>
    <w:p>
      <w:pPr>
        <w:spacing w:after="360"/>
        <w:jc w:val="center"/>
      </w:pPr>
      <w:r>
        <w:rPr>
          <w:b/>
          <w:color w:val="0F4761"/>
        </w:rPr>
        <w:t>Campaign Policy Paper</w:t>
      </w:r>
      <w:r>
        <w:br/>
        <w:t>September 2026</w:t>
      </w:r>
    </w:p>
    <w:p>
      <w:pPr>
        <w:jc w:val="center"/>
      </w:pPr>
      <w:r>
        <w:rPr>
          <w:b/>
          <w:color w:val="C23B32"/>
          <w:sz w:val="20"/>
        </w:rPr>
        <w:t>LIBERTY  •  JUSTICE  •  ABUNDANCE  •  FRONTIER</w:t>
      </w:r>
      <w:r/>
    </w:p>
    <w:p>
      <w:pPr>
        <w:pStyle w:val="Heading1"/>
      </w:pPr>
      <w:r>
        <w:t>Executive Summary</w:t>
      </w:r>
    </w:p>
    <w:p>
      <w:pPr/>
      <w:r>
        <w:t>Government sometimes changes the law knowing that jobs will be lost. That alone does not create a special debt. A free people must remain able to regulate genuine dangers, end public subsidies, and change policy as knowledge improves. The Cornerstone addresses the narrower and more serious case in which government expressly chooses the destruction or material contraction of a lawful industry as an objective or intended means of policy, carries out that policy, and thereby destroys identifiable people's livelihoods.</w:t>
      </w:r>
    </w:p>
    <w:p>
      <w:pPr/>
      <w:r>
        <w:t>When government intentionally uses the economic lives of particular citizens to accomplish a public objective, it incurs a debt to those citizens. That debt is individual. It is not paid by announcing that the policy served the public as a whole, by offering a short retraining course, or by sending temporary assistance after a permanent economic foundation has been removed. Nor is it best repaired by estimating every lost paycheck and writing checks. The injury was the deliberate destruction of an economic future. The fitting remedy is a new economic future that the injured people own and govern.</w:t>
      </w:r>
    </w:p>
    <w:p>
      <w:pPr/>
      <w:r>
        <w:t>The Cornerstone therefore restores a durable economic foundation to people whose livelihoods government deliberately destroyed. Participating states place selected, currently prohibited commercial liberties on a public exchange. Certified injured workers form voluntary, worker-owned Cornerstone Associations. Those associations may receive limited, conditional, regional monopolies in the offered trades, raise private capital, train their members, and build new enterprises. Every injured worker receives a protected membership, vote, ownership interest, and first opportunity to work or operate a franchise within the new enterprise. No existing job, license, contract, customer, or lawful market may be taken from anyone. The public advances only the small organizational and training costs necessary to make the opportunity usable, and the resulting enterprise repays that advance with a fixed return before the repayment obligation expires.</w:t>
      </w:r>
      <w:r>
        <w:t xml:space="preserve"> A published state share of protected surplus funds land acquisition without giving the state control.</w:t>
      </w:r>
    </w:p>
    <w:p>
      <w:pPr/>
      <w:r>
        <w:t>The policy in one sentence is this:</w:t>
      </w:r>
    </w:p>
    <w:p>
      <w:pPr>
        <w:pStyle w:val="IntenseQuote"/>
      </w:pPr>
      <w:r>
        <w:t>The Cornerstone repairs livelihoods deliberately destroyed by government by allowing participating states to restore presently prohibited liberties, through limited regional compacts, to voluntary enterprises owned and governed by the individuals the government directly injured - with no displacement of any existing worker or business and no net cost to the taxpayer.</w:t>
      </w:r>
    </w:p>
    <w:p>
      <w:pPr>
        <w:pStyle w:val="Heading1"/>
      </w:pPr>
      <w:r>
        <w:t>I. The Debt</w:t>
      </w:r>
    </w:p>
    <w:p>
      <w:pPr>
        <w:pStyle w:val="Heading2"/>
      </w:pPr>
      <w:r>
        <w:t>A public purpose does not erase a private injury</w:t>
      </w:r>
    </w:p>
    <w:p>
      <w:pPr/>
      <w:r>
        <w:t>A policy may pursue a legitimate national or state purpose and still impose a deliberate, concentrated injury. If an administration announces that an industry must be eliminated, adopts rules designed to accomplish that result, and succeeds, the public may receive whatever benefit the policy sought. The particular workers who lost their occupations nevertheless bore a cost chosen for them by the state. They are not abstractions called a labor market. They are specific people who organized their lives around lawful work, acquired specialized skills, built homes near that work, and expected continued participation in an industry the government intentionally closed against them.</w:t>
      </w:r>
    </w:p>
    <w:p>
      <w:pPr/>
      <w:r>
        <w:t>The state cannot make that debt disappear by changing administrations. It cannot dissolve an individualized obligation into a generalized development program. It owes a remedy to each person it directly injured, no more and no less.</w:t>
      </w:r>
    </w:p>
    <w:p>
      <w:pPr>
        <w:pStyle w:val="Heading2"/>
      </w:pPr>
      <w:r>
        <w:t>The accruing debt of injustice</w:t>
      </w:r>
    </w:p>
    <w:p>
      <w:pPr/>
      <w:r>
        <w:t>This debt accrues, but not as interest on a damages award. Every year in which the deliberately displaced person remains without a restored economic foundation is another year in which the state has left its chosen injury unrepaired. Lost practice makes skills less usable. Savings are consumed. Businesses and homes lose value. Families move. Communities built around the work decline. The consequences compound even when the obligation is not converted into dollars.</w:t>
      </w:r>
    </w:p>
    <w:p>
      <w:pPr/>
      <w:r>
        <w:t>Accrual has three consequences under The Cornerstone. Time does not extinguish a certified debt. The oldest certified and still-unremedied events receive priority when several associations seek the same offered liberty. And the debt remains open until government has delivered a legally secure and commercially usable opportunity - not merely a certificate that has no practical value.</w:t>
      </w:r>
    </w:p>
    <w:p>
      <w:pPr>
        <w:pStyle w:val="Heading2"/>
      </w:pPr>
      <w:r>
        <w:t>Why the remedy is liberty rather than money</w:t>
      </w:r>
    </w:p>
    <w:p>
      <w:pPr/>
      <w:r>
        <w:t>The injury was not merely the loss of wages on particular dates. It was the state-directed destruction of a lawful place in the economy. A cash award can be spent once. A durable commercial right can support work, ownership, investment, and inheritance. It can replace an economic engine rather than reimburse fragments of its wreckage.</w:t>
      </w:r>
    </w:p>
    <w:p>
      <w:pPr/>
      <w:r>
        <w:t>The state already holds the means of making that repair. Whenever government prohibits an otherwise honest trade, it takes from everyone the liberty to enter that trade. The Cornerstone does not require those prohibitions to be repealed generally. It allows a participating state to restore a prohibited liberty selectively within a defined district to people to whom government owes a public debt. Because the trade is closed to everyone at the moment of the grant, the grant takes no existing position from anyone.</w:t>
      </w:r>
    </w:p>
    <w:p>
      <w:pPr>
        <w:pStyle w:val="Heading1"/>
      </w:pPr>
      <w:r>
        <w:t>II. Four Governing Tests</w:t>
      </w:r>
    </w:p>
    <w:p>
      <w:pPr/>
      <w:r>
        <w:t>Every Cornerstone determination and compact must satisfy four tests.</w:t>
      </w:r>
    </w:p>
    <w:p>
      <w:pPr>
        <w:pStyle w:val="Heading2"/>
      </w:pPr>
      <w:r>
        <w:t>1. The intent test</w:t>
      </w:r>
    </w:p>
    <w:p>
      <w:pPr/>
      <w:r>
        <w:t>Ordinary economic change is not enough. Automation, changing consumer demand, foreign competition, the expiration of a subsidy, and regulation that incidentally reduces employment do not qualify merely because workers suffer.</w:t>
      </w:r>
    </w:p>
    <w:p>
      <w:pPr/>
      <w:r>
        <w:t>A governmental action qualifies only when the official record establishes that ending, suppressing, or materially contracting a lawful industry was an express objective of the action, or that imposing substantial economic injury on the industry was deliberately selected as a means of achieving another objective. Intent is determined from enacted text, executive orders, regulations, official plans, budget documents, formal findings, and attributable statements of authorized policymakers. Knowledge that some incidental losses might occur is insufficient. The industrial injury must be part of the plan.</w:t>
      </w:r>
    </w:p>
    <w:p>
      <w:pPr/>
      <w:r>
        <w:t>The test concerns institutional intent, not personal malice toward workers. Government may sincerely believe that closing an industry serves the public. The Cornerstone requires only that government acknowledge and repair the concentrated human cost it intentionally chose.</w:t>
      </w:r>
    </w:p>
    <w:p>
      <w:pPr>
        <w:pStyle w:val="Heading2"/>
      </w:pPr>
      <w:r>
        <w:t>2. The causation test</w:t>
      </w:r>
    </w:p>
    <w:p>
      <w:pPr/>
      <w:r>
        <w:t>The governmental action must have contributed materially and directly to an actual or imminent separation from work or destruction of a principal independent livelihood. A worker need not prove that the policy was the sole cause. An employer may already have faced market pressure. But the evidence must show that the certified action accelerated, required, or substantially enlarged the closure, contraction, cancellation, or loss of work.</w:t>
      </w:r>
      <w:r>
        <w:t xml:space="preserve"> The loss of a primary job can be material even when a worker retains a separate part-time job; the policy does not require the loss of every source of income.</w:t>
      </w:r>
    </w:p>
    <w:p>
      <w:pPr>
        <w:pStyle w:val="Heading2"/>
      </w:pPr>
      <w:r>
        <w:t>3. The individuality and voice test</w:t>
      </w:r>
    </w:p>
    <w:p>
      <w:pPr/>
      <w:r>
        <w:t>The remedy must reach every directly injured person through a right that person can exercise and govern. A general appropriation to a county, a tax credit available to any new employer, or an economic-development project controlled by outsiders does not pay an individualized debt. Each eligible person must receive a legally protected membership, vote, beneficial ownership interest, and access to work or enterprise in the restored opportunity.</w:t>
      </w:r>
    </w:p>
    <w:p>
      <w:pPr>
        <w:pStyle w:val="Heading2"/>
      </w:pPr>
      <w:r>
        <w:t>4. The no-new-harm test</w:t>
      </w:r>
    </w:p>
    <w:p>
      <w:pPr/>
      <w:r>
        <w:t>A Cornerstone compact may touch only a trade that is legally closed to every private citizen in the proposed district when the state publishes its offer. If any citizen already lawfully holds or competes for a job, license, contract, customer, place in a queue, or share of that market, the trade is ineligible in that district. The policy may open a new field. It may never clear an occupied field.</w:t>
      </w:r>
    </w:p>
    <w:p>
      <w:pPr>
        <w:pStyle w:val="Heading1"/>
      </w:pPr>
      <w:r>
        <w:t>III. Certification of the Wrong</w:t>
      </w:r>
    </w:p>
    <w:p>
      <w:pPr>
        <w:pStyle w:val="Heading2"/>
      </w:pPr>
      <w:r>
        <w:t>Certified Deliberate Displacement Events</w:t>
      </w:r>
    </w:p>
    <w:p>
      <w:pPr/>
      <w:r>
        <w:t>The Department of Labor will certify qualifying governmental actions as Certified Deliberate Displacement Events. The certification process adapts an administrative structure the federal government has used before: under the Trade Adjustment Assistance framework, workers, unions, employers, and state workforce officials could petition the Department of Labor to investigate whether trade contributed importantly to group separations. The Cornerstone uses a similar petition-and-investigation process but applies a stricter intent requirement and supplies a different remedy.</w:t>
      </w:r>
    </w:p>
    <w:p>
      <w:pPr/>
      <w:r>
        <w:t>A valid petition may be filed by two or more affected workers, a union or authorized worker representative, the affected employer, a state workforce agency, a governor, or the Department of Labor on its own motion. The petition must identify the governmental action, the lawful industry or line of work intentionally targeted, the worksite or class of enterprises affected, the evidence of governmental intent, and the separations attributed to the action.</w:t>
      </w:r>
    </w:p>
    <w:p>
      <w:pPr/>
      <w:r>
        <w:t>The Department must publish the petition, provide notice to the affected government and employers, accept evidence from all sides, and issue written findings under fixed statutory criteria. The determination must identify:</w:t>
      </w:r>
    </w:p>
    <w:p>
      <w:pPr>
        <w:pStyle w:val="ListParagraph"/>
        <w:numPr>
          <w:ilvl w:val="0"/>
          <w:numId w:val="4"/>
        </w:numPr>
      </w:pPr>
      <w:r>
        <w:t>the governmental action and the sovereign responsible for it;</w:t>
      </w:r>
    </w:p>
    <w:p>
      <w:pPr>
        <w:pStyle w:val="ListParagraph"/>
        <w:numPr>
          <w:ilvl w:val="0"/>
          <w:numId w:val="4"/>
        </w:numPr>
      </w:pPr>
      <w:r>
        <w:t>the industry, occupation, worksites, and geographic areas covered;</w:t>
      </w:r>
    </w:p>
    <w:p>
      <w:pPr>
        <w:pStyle w:val="ListParagraph"/>
        <w:numPr>
          <w:ilvl w:val="0"/>
          <w:numId w:val="4"/>
        </w:numPr>
      </w:pPr>
      <w:r>
        <w:t>the official evidence establishing the required intent;</w:t>
      </w:r>
    </w:p>
    <w:p>
      <w:pPr>
        <w:pStyle w:val="ListParagraph"/>
        <w:numPr>
          <w:ilvl w:val="0"/>
          <w:numId w:val="4"/>
        </w:numPr>
      </w:pPr>
      <w:r>
        <w:t>the causal period during which separations are presumed attributable to the action; and</w:t>
      </w:r>
    </w:p>
    <w:p>
      <w:pPr>
        <w:pStyle w:val="ListParagraph"/>
        <w:numPr>
          <w:ilvl w:val="0"/>
          <w:numId w:val="4"/>
        </w:numPr>
      </w:pPr>
      <w:r>
        <w:t>the records sufficient to establish individual eligibility.</w:t>
      </w:r>
    </w:p>
    <w:p>
      <w:pPr/>
      <w:r>
        <w:t>The Department receives no authority to declare a policy unwise or unlawful. Its task is factual: did government intentionally choose the industrial injury, did the identified action materially produce separations, and who was directly affected? A final certification or denial is reviewable in federal court on the administrative record.</w:t>
      </w:r>
    </w:p>
    <w:p>
      <w:pPr/>
      <w:r>
        <w:t>A research census may screen government actions for material effects on an existing trade without itself certifying an event or any person. Its entries are leads for the petition record; intent, direct causation, covered work, and individual eligibility still require proof under the governing tests.</w:t>
      </w:r>
    </w:p>
    <w:p>
      <w:pPr>
        <w:pStyle w:val="Heading2"/>
      </w:pPr>
      <w:r>
        <w:t>No arbitrary historical cutoff</w:t>
      </w:r>
    </w:p>
    <w:p>
      <w:pPr/>
      <w:r>
        <w:t>The obligation does not vanish on an arbitrary anniversary. A past event may be certified whenever reliable public and employment records establish intent, causation, and the affected class. The burden of proof naturally becomes harder as records age, but the calendar itself is not a defense to an unpaid public debt. Once an event is certified, the enrollment period begins; the limitations period therefore runs from certification, not from the original separation.</w:t>
      </w:r>
    </w:p>
    <w:p>
      <w:pPr>
        <w:pStyle w:val="Heading1"/>
      </w:pPr>
      <w:r>
        <w:t>IV. Individual Eligibility</w:t>
      </w:r>
    </w:p>
    <w:p>
      <w:pPr/>
      <w:r>
        <w:t>An individual is eligible when that person:</w:t>
      </w:r>
    </w:p>
    <w:p>
      <w:pPr>
        <w:pStyle w:val="ListParagraph"/>
        <w:numPr>
          <w:ilvl w:val="0"/>
          <w:numId w:val="5"/>
        </w:numPr>
      </w:pPr>
      <w:r>
        <w:t>worked as an employee, independent worker, or owner-operator in the certified industry or covered supply operation during the period identified in the certification;</w:t>
      </w:r>
    </w:p>
    <w:p>
      <w:pPr>
        <w:pStyle w:val="ListParagraph"/>
        <w:numPr>
          <w:ilvl w:val="0"/>
          <w:numId w:val="5"/>
        </w:numPr>
      </w:pPr>
      <w:r>
        <w:t>derived a principal livelihood from that work, demonstrated by a majority of earned income or at least 1,000 hours of work during a twelve-month period;</w:t>
      </w:r>
    </w:p>
    <w:p>
      <w:pPr>
        <w:pStyle w:val="ListParagraph"/>
        <w:numPr>
          <w:ilvl w:val="0"/>
          <w:numId w:val="5"/>
        </w:numPr>
      </w:pPr>
      <w:r>
        <w:t>suffered total or substantial separation, forced early retirement, cancellation of the business, or destruction of that principal livelihood within the certified causal period; and</w:t>
      </w:r>
    </w:p>
    <w:p>
      <w:pPr>
        <w:pStyle w:val="ListParagraph"/>
        <w:numPr>
          <w:ilvl w:val="0"/>
          <w:numId w:val="5"/>
        </w:numPr>
      </w:pPr>
      <w:r>
        <w:t>supplies the employment, tax, union, licensing, contract, or comparable records specified in the certification.</w:t>
      </w:r>
    </w:p>
    <w:p>
      <w:pPr/>
      <w:r>
        <w:t>Direct suppliers and contractors qualify only when the certified action intentionally encompassed their line of work or when the Department finds that the covered facility or industry accounted for the required principal share of their work and that the policy materially caused its loss. General regional decline and indirect loss of customers do not establish individual eligibility.</w:t>
      </w:r>
    </w:p>
    <w:p>
      <w:pPr/>
      <w:r>
        <w:t>Finding other employment does not erase the original debt. It may show admirable recovery by the worker; it does not turn deliberate state action into an accident. Nor does receipt of unemployment insurance, a pension, severance, or ordinary transition benefits satisfy The Cornerstone. Those programs answer temporary income loss. The Cornerstone answers the deliberate destruction of an economic position.</w:t>
      </w:r>
    </w:p>
    <w:p>
      <w:pPr/>
      <w:r>
        <w:t>The claim survives the worker's death. One estate or designated successor may exercise the membership associated with the worker; the injury does not multiply among heirs. Employment and training priority belongs first to the directly injured living worker and, after death, may be exercised by the single successor designated under the association's rules.</w:t>
      </w:r>
    </w:p>
    <w:p>
      <w:pPr>
        <w:pStyle w:val="Heading1"/>
      </w:pPr>
      <w:r>
        <w:t>V. Cornerstone Associations</w:t>
      </w:r>
    </w:p>
    <w:p>
      <w:pPr>
        <w:pStyle w:val="Heading2"/>
      </w:pPr>
      <w:r>
        <w:t>The recipient of the restored liberty</w:t>
      </w:r>
    </w:p>
    <w:p>
      <w:pPr/>
      <w:r>
        <w:t>A regional monopoly cannot sensibly be divided into thousands of isolated fragments, and an individual worker should not be forced to become a solo entrepreneur. The recipient will therefore be a Cornerstone Association: a voluntary, federally recognized mutual-benefit corporation founded and governed by certified injured workers.</w:t>
      </w:r>
    </w:p>
    <w:p>
      <w:pPr/>
      <w:r>
        <w:t>Workers elect an association during a fixed founding period before that association receives any commercial right. Membership closes before matching begins, preventing anyone from joining solely because a particular valuable opportunity has been secured. Large certified cohorts may form several geographically rooted associations so each institution remains governable. The default maximum is 2,500 founding members; larger bodies may exist only when members approve the scale and the Department finds that direct participation remains practical. Small cohorts may join a regional association with workers from another certified event without surrendering the identity of either claim.</w:t>
      </w:r>
    </w:p>
    <w:p>
      <w:pPr>
        <w:pStyle w:val="Heading2"/>
      </w:pPr>
      <w:r>
        <w:t>Rights of every founding member</w:t>
      </w:r>
    </w:p>
    <w:p>
      <w:pPr/>
      <w:r>
        <w:t>Each injured worker receives one founding membership unit carrying:</w:t>
      </w:r>
    </w:p>
    <w:p>
      <w:pPr>
        <w:pStyle w:val="ListParagraph"/>
        <w:numPr>
          <w:ilvl w:val="0"/>
          <w:numId w:val="6"/>
        </w:numPr>
      </w:pPr>
      <w:r>
        <w:t>one equal vote in elections and fundamental compact decisions;</w:t>
      </w:r>
    </w:p>
    <w:p>
      <w:pPr>
        <w:pStyle w:val="ListParagraph"/>
        <w:numPr>
          <w:ilvl w:val="0"/>
          <w:numId w:val="6"/>
        </w:numPr>
      </w:pPr>
      <w:r>
        <w:t>an equal beneficial interest in the association's common ownership;</w:t>
      </w:r>
    </w:p>
    <w:p>
      <w:pPr>
        <w:pStyle w:val="ListParagraph"/>
        <w:numPr>
          <w:ilvl w:val="0"/>
          <w:numId w:val="6"/>
        </w:numPr>
      </w:pPr>
      <w:r>
        <w:t>an equal base share of distributions after required reserves and repayment obligations;</w:t>
      </w:r>
    </w:p>
    <w:p>
      <w:pPr>
        <w:pStyle w:val="ListParagraph"/>
        <w:numPr>
          <w:ilvl w:val="0"/>
          <w:numId w:val="6"/>
        </w:numPr>
      </w:pPr>
      <w:r>
        <w:t>first opportunity to enter funded training, qualified employment, or a member franchise created by the enterprise; and</w:t>
      </w:r>
    </w:p>
    <w:p>
      <w:pPr>
        <w:pStyle w:val="ListParagraph"/>
        <w:numPr>
          <w:ilvl w:val="0"/>
          <w:numId w:val="6"/>
        </w:numPr>
      </w:pPr>
      <w:r>
        <w:t>enforceable rights to inspect accounts, compacts, investor agreements, and annual audits.</w:t>
      </w:r>
    </w:p>
    <w:p>
      <w:pPr/>
      <w:r>
        <w:t>Wages and patronage returns may differ according to work actually performed. The equal founding interest does not require a member who does no work to receive the same wages as one who does. It ensures that the public asset conferred in restitution remains owned by the people to whom the debt is owed.</w:t>
      </w:r>
    </w:p>
    <w:p>
      <w:pPr/>
      <w:r>
        <w:t>Membership is voluntary. A worker may decline active employment or training while retaining the ownership and voting interest. No worker is required to move, change occupations, or assume personal debt. A worker who declines membership entirely signs a written election after receiving a plain-language explanation; there is no cash substitute.</w:t>
      </w:r>
    </w:p>
    <w:p>
      <w:pPr>
        <w:pStyle w:val="Heading2"/>
      </w:pPr>
      <w:r>
        <w:t>Control cannot be sold away</w:t>
      </w:r>
    </w:p>
    <w:p>
      <w:pPr/>
      <w:r>
        <w:t>The association permanently holds all voting control over the compact and its operating companies. It may issue nonvoting equity, revenue interests, or debt to private investors, but no investor receives a board veto, regulatory privilege, or power to transfer the compact. The government likewise receives no board seat, golden share, or management authority. Government regulates the compact openly through law; it does not govern the enterprise quietly through ownership.</w:t>
      </w:r>
    </w:p>
    <w:p>
      <w:pPr/>
      <w:r>
        <w:t>Founding membership cannot be sold or pledged. At death it passes to one designated successor or the estate under uniform rules. This prevents speculators from buying the restorative right from injured workers while allowing the wealth created from that right to become part of a family's lasting foundation.</w:t>
      </w:r>
    </w:p>
    <w:p>
      <w:pPr>
        <w:pStyle w:val="Heading1"/>
      </w:pPr>
      <w:r>
        <w:t>VI. The States</w:t>
      </w:r>
    </w:p>
    <w:p>
      <w:pPr>
        <w:pStyle w:val="Heading2"/>
      </w:pPr>
      <w:r>
        <w:t>Voluntary offers of prohibited liberty</w:t>
      </w:r>
    </w:p>
    <w:p>
      <w:pPr/>
      <w:r>
        <w:t>No state is compelled to participate. A participating legislature authorizes Cornerstone compacts and directs an independent state agency to publish specific offers. Each offer must identify:</w:t>
      </w:r>
    </w:p>
    <w:p>
      <w:pPr>
        <w:pStyle w:val="ListParagraph"/>
        <w:numPr>
          <w:ilvl w:val="0"/>
          <w:numId w:val="7"/>
        </w:numPr>
      </w:pPr>
      <w:r>
        <w:t>the trade that is currently prohibited;</w:t>
      </w:r>
    </w:p>
    <w:p>
      <w:pPr>
        <w:pStyle w:val="ListParagraph"/>
        <w:numPr>
          <w:ilvl w:val="0"/>
          <w:numId w:val="7"/>
        </w:numPr>
      </w:pPr>
      <w:r>
        <w:t>the districts in which the state is willing to open it exclusively;</w:t>
      </w:r>
    </w:p>
    <w:p>
      <w:pPr>
        <w:pStyle w:val="ListParagraph"/>
        <w:numPr>
          <w:ilvl w:val="0"/>
          <w:numId w:val="7"/>
        </w:numPr>
      </w:pPr>
      <w:r>
        <w:t>the thirty-year initial term and statutory conditions;</w:t>
      </w:r>
    </w:p>
    <w:p>
      <w:pPr>
        <w:pStyle w:val="ListParagraph"/>
        <w:numPr>
          <w:ilvl w:val="0"/>
          <w:numId w:val="7"/>
        </w:numPr>
      </w:pPr>
      <w:r>
        <w:t>the safety, consumer, environmental, labor, reporting, and taxation rules that will govern it;</w:t>
      </w:r>
    </w:p>
    <w:p>
      <w:pPr>
        <w:pStyle w:val="ListParagraph"/>
        <w:numPr>
          <w:ilvl w:val="0"/>
          <w:numId w:val="7"/>
        </w:numPr>
      </w:pPr>
      <w:r>
        <w:t>the agency responsible for independent supervision;</w:t>
      </w:r>
    </w:p>
    <w:p>
      <w:pPr>
        <w:pStyle w:val="ListParagraph"/>
      </w:pPr>
      <w:r>
        <w:t>the published, flat state surplus-share rate, the common calculation and protected financial baseline, and the menu of commercial terms open to negotiation; and</w:t>
      </w:r>
    </w:p>
    <w:p>
      <w:pPr>
        <w:pStyle w:val="ListParagraph"/>
        <w:numPr>
          <w:ilvl w:val="0"/>
          <w:numId w:val="7"/>
        </w:numPr>
      </w:pPr>
      <w:r>
        <w:t>any federal prohibition for which a parallel federal authorization is required.</w:t>
      </w:r>
    </w:p>
    <w:p>
      <w:pPr/>
      <w:r>
        <w:t>The offer must be complete before the state learns which association will seek it. It may impose neutral technical and financial-readiness requirements, but it may not select beneficiaries by politics, race, party, residence, or official favor.</w:t>
      </w:r>
      <w:r>
        <w:t xml:space="preserve"> The rate and negotiable menu cannot be changed privately after associations rank the offer.</w:t>
      </w:r>
    </w:p>
    <w:p>
      <w:pPr>
        <w:pStyle w:val="Heading2"/>
      </w:pPr>
      <w:r>
        <w:t>Negotiated compacts</w:t>
      </w:r>
    </w:p>
    <w:p>
      <w:pPr/>
      <w:r>
        <w:t>After matching, the state and association negotiate a compact within the published offer. The association chooses its business plan and capital partners. The state sets and enforces public rules. The compact is regional, never national, so a citizen excluded from the compacted district remains free to advocate general legalization or to enter the trade wherever it is otherwise lawful.</w:t>
      </w:r>
      <w:r>
        <w:t xml:space="preserve"> Associations may account for the published state share when ranking offers and may seek more valuable commercial terms within the disclosed menu during negotiation.</w:t>
      </w:r>
    </w:p>
    <w:p>
      <w:pPr/>
      <w:r>
        <w:t>The initial term is thirty years. It renews automatically for ten additional years if the association remains under beneficiary control and is materially compliant with the compact. This fixed forty-year maximum is long enough to finance capital-intensive enterprises and restore a working-life foundation, while preserving the principle that the monopoly is limited. A state may open the trade generally outside the compacted district at any time. Within the district, general entry begins when the compact expires unless the legislature adopts a new, generally applicable policy.</w:t>
      </w:r>
    </w:p>
    <w:p>
      <w:pPr/>
      <w:r>
        <w:t>The state may revoke a compact only for a material violation involving safety, fraud, corruption, beneficiary control, or repeated failure to provide the required service. Revocation requires notice, an opportunity to cure where cure is possible, a written decision by an independent state official, and judicial review. Political disagreement with the beneficiaries or with the original restitution is never cause.</w:t>
      </w:r>
    </w:p>
    <w:p>
      <w:pPr>
        <w:pStyle w:val="Heading2"/>
      </w:pPr>
      <w:r>
        <w:t>Active public supervision</w:t>
      </w:r>
    </w:p>
    <w:p>
      <w:pPr/>
      <w:r>
        <w:t>Because the policy intentionally displaces competition, the legislature must say so expressly and accept political responsibility for that choice. Regulation may not be delegated to a board controlled by the association or by active participants in the compacted market. An independent public supervisor must review the substance of material pricing, access, safety, and exclusion decisions and possess authority to approve, modify, or veto them. The association governs its enterprise; the state supervises the public conditions of the monopoly.</w:t>
      </w:r>
    </w:p>
    <w:p>
      <w:pPr>
        <w:pStyle w:val="Heading1"/>
      </w:pPr>
      <w:r>
        <w:t>VII. The Federal Government</w:t>
      </w:r>
    </w:p>
    <w:p>
      <w:pPr/>
      <w:r>
        <w:t>The federal role is deliberately narrow and divided among existing institutions.</w:t>
      </w:r>
    </w:p>
    <w:p>
      <w:pPr/>
      <w:r>
        <w:t>The Department of Labor certifies displacement events and individual eligibility. The Department of Commerce operates a public Cornerstone Exchange that lists associations, state offers, matches, compacts, and audit results. The federal regulator responsible for any national prohibition issues the compact-specific authorization established by Congress. No new cabinet department or permanent discretionary grant agency is created.</w:t>
      </w:r>
    </w:p>
    <w:p>
      <w:pPr/>
      <w:r>
        <w:t>Congress expressly authorizes certified state compacts and any incidental effects on interstate commerce. Eligibility follows the injured person rather than state residence: a displaced worker may join an association seeking an opportunity in another participating state, and states may not reserve membership to current residents. Customers likewise may not be discriminated against by residence. Geography defines where the restored trade operates; it does not define which Americans may participate in restitution.</w:t>
      </w:r>
    </w:p>
    <w:p>
      <w:pPr/>
      <w:r>
        <w:t>Where federal law prohibits the trade, federal authorization lifts that prohibition only for the compacted association, activity, geography, and term. Where the prohibition is exclusively state law, federal participation ends after certification, matching, and publication of the compact.</w:t>
      </w:r>
    </w:p>
    <w:p>
      <w:pPr>
        <w:pStyle w:val="Heading1"/>
      </w:pPr>
      <w:r>
        <w:t>VIII. The Cornerstone Exchange and Matching Rule</w:t>
      </w:r>
    </w:p>
    <w:p>
      <w:pPr/>
      <w:r>
        <w:t>The Exchange prevents restoration from becoming patronage.</w:t>
      </w:r>
    </w:p>
    <w:p>
      <w:pPr/>
      <w:r>
        <w:t>States publish offers. Associations then submit sealed, ranked lists of the offers they are prepared to pursue. A deterministic matching process assigns each offer according to the associations' choices and the objective capacity stated in the offer. When two associations seek the same offer and cannot agree to divide districts or form a consortium, priority goes to the certified event that has remained unremedied the longest. If the relevant separation dates are the same, a public random drawing breaks the tie. No official ranks the worthiness of injured workers.</w:t>
      </w:r>
    </w:p>
    <w:p>
      <w:pPr/>
      <w:r>
        <w:t>An association may receive more than one district when a single offer cannot support a viable opportunity for its entire membership, but every expansion must satisfy the no-new-harm test independently. The Exchange publishes the match and all reasons generated by the rule. The state and association then negotiate. If they cannot reach a compact within the fixed period, the offer returns to the Exchange and the association proceeds to its next ranked choice.</w:t>
      </w:r>
    </w:p>
    <w:p>
      <w:pPr/>
      <w:r>
        <w:t>States designate each offer for The Garden, The Cornerstone, or both before applications are visible. An offer cannot be reclassified after government sees who seeks it. Where an offer is open to both programs, the same oldest-unremedied rule and public tie-break apply, while the federal program paces certifications so early grants do not exhaust the districts available to either class of public debt.</w:t>
      </w:r>
    </w:p>
    <w:p>
      <w:pPr>
        <w:pStyle w:val="Heading1"/>
      </w:pPr>
      <w:r>
        <w:t>IX. Capital, Training, and Taxpayer Protection</w:t>
      </w:r>
    </w:p>
    <w:p>
      <w:pPr>
        <w:pStyle w:val="Heading2"/>
      </w:pPr>
      <w:r>
        <w:t>Private capital builds the enterprise</w:t>
      </w:r>
    </w:p>
    <w:p>
      <w:pPr/>
      <w:r>
        <w:t>The monopoly supplies scarcity and regulatory certainty; private investors supply most operating capital. Exclusivity can make investment rational in a market that prohibition previously held at zero. The association may use operating subsidiaries, joint ventures, franchises, and professional managers, but beneficiary voting control and the compact itself remain inalienable.</w:t>
      </w:r>
    </w:p>
    <w:p>
      <w:pPr>
        <w:pStyle w:val="Heading2"/>
      </w:pPr>
      <w:r>
        <w:t>The Cornerstone Founding Fund</w:t>
      </w:r>
    </w:p>
    <w:p>
      <w:pPr/>
      <w:r>
        <w:t>A revolving Cornerstone Founding Fund advances only the costs required to make the restored opportunity usable: petition assistance, worker enrollment, association formation, independent feasibility work, legal and accounting preparation, licensing, and member training. It does not finance ordinary distributions, political activity, or speculative acquisitions outside the compact.</w:t>
      </w:r>
    </w:p>
    <w:p>
      <w:pPr/>
      <w:r>
        <w:t>Nothing is owed by an individual worker. Once an enterprise earns revenue, the association remits a small fixed percentage determined at compact formation by an independent actuarial formula. The remittance continues until the advance is repaid with a fixed public return, then expires permanently. Successful enterprises replenish the fund for the next certified cohort. Public money goes out once, returns by rule, and becomes available again.</w:t>
      </w:r>
    </w:p>
    <w:p>
      <w:pPr>
        <w:pStyle w:val="Heading2"/>
      </w:pPr>
      <w:r>
        <w:t>State surplus share and land account</w:t>
      </w:r>
    </w:p>
    <w:p>
      <w:pPr/>
      <w:r>
        <w:t>Each compact includes a modest flat percentage of positive shareable surplus above a protected financial baseline. State law supplies one published method for recognizing legitimate operating costs, unrecovered prior losses, required Founding Fund payments, working capital, and documented reserve and capital needs, without counting any cost twice. A reserve allowance protects only the amount needed to meet its target. Bounded investment allowances prevent an indefinite deferral of the share. The rate and calculation are disclosed with the offer before matching and fixed in the compact; officials verify inputs under common rules rather than bargaining for a favored percentage.</w:t>
      </w:r>
    </w:p>
    <w:p>
      <w:pPr/>
      <w:r>
        <w:t>The enterprise owes no state surplus payment when the formula yields no positive shareable surplus. Payments go to a dedicated state land-acquisition account through ordinary public accounting. The state receives no equity, vote, board seat, veto, or management right. This continuing share does not extend or replace the separate Founding Fund remittance, which ends after its advance and fixed return are recovered. A narrow review procedure corrects misapplied calculations or classifications under the published rules.</w:t>
      </w:r>
    </w:p>
    <w:p>
      <w:pPr>
        <w:pStyle w:val="Heading2"/>
      </w:pPr>
      <w:r>
        <w:t>No hollow license</w:t>
      </w:r>
    </w:p>
    <w:p>
      <w:pPr/>
      <w:r>
        <w:t>Government cannot satisfy the debt by issuing paper rights that cannot lawfully or commercially be used. Before the debt is closed, the state and federal government must issue every required authorization; the compact must be legally enforceable for its full term; the association must have completed an independent feasibility review; members must have access to funded training; and the association must have a lawful path to private capital.</w:t>
      </w:r>
    </w:p>
    <w:p>
      <w:pPr/>
      <w:r>
        <w:t>If an association cannot secure capital before operations begin, it receives one opportunity to revise its plan or return to the Exchange without losing the underlying certified debt. Once a properly authorized and financed enterprise begins operation, ordinary commercial risk belongs to its owners. The state owes a real opportunity, not guaranteed profit. If government later unlawfully withdraws the right or defeats the compact, the debt reopens; if the enterprise fails because consumers do not buy, the restitution remains complete.</w:t>
      </w:r>
    </w:p>
    <w:p>
      <w:pPr>
        <w:pStyle w:val="Heading1"/>
      </w:pPr>
      <w:r>
        <w:t>X. Public Safeguards</w:t>
      </w:r>
    </w:p>
    <w:p>
      <w:pPr/>
      <w:r>
        <w:t>Every compact must include:</w:t>
      </w:r>
    </w:p>
    <w:p>
      <w:pPr>
        <w:pStyle w:val="ListParagraph"/>
        <w:numPr>
          <w:ilvl w:val="0"/>
          <w:numId w:val="8"/>
        </w:numPr>
      </w:pPr>
      <w:r>
        <w:t>independent annual financial and beneficiary-control audits;</w:t>
      </w:r>
    </w:p>
    <w:p>
      <w:pPr>
        <w:pStyle w:val="ListParagraph"/>
        <w:numPr>
          <w:ilvl w:val="0"/>
          <w:numId w:val="8"/>
        </w:numPr>
      </w:pPr>
      <w:r>
        <w:t>public disclosure of the compact, material investor rights, beneficial ownership, and regulatory decisions;</w:t>
      </w:r>
    </w:p>
    <w:p>
      <w:pPr>
        <w:pStyle w:val="ListParagraph"/>
        <w:numPr>
          <w:ilvl w:val="0"/>
          <w:numId w:val="8"/>
        </w:numPr>
      </w:pPr>
      <w:r>
        <w:t>ordinary health, safety, environmental, labor, tax, and consumer-protection law;</w:t>
      </w:r>
    </w:p>
    <w:p>
      <w:pPr>
        <w:pStyle w:val="ListParagraph"/>
        <w:numPr>
          <w:ilvl w:val="0"/>
          <w:numId w:val="8"/>
        </w:numPr>
      </w:pPr>
      <w:r>
        <w:t>a prohibition on political contributions by the association to officials supervising its compact;</w:t>
      </w:r>
    </w:p>
    <w:p>
      <w:pPr>
        <w:pStyle w:val="ListParagraph"/>
        <w:numPr>
          <w:ilvl w:val="0"/>
          <w:numId w:val="8"/>
        </w:numPr>
      </w:pPr>
      <w:r>
        <w:t>conflict-of-interest and cooling-off rules for state and federal decisionmakers;</w:t>
      </w:r>
    </w:p>
    <w:p>
      <w:pPr>
        <w:pStyle w:val="ListParagraph"/>
        <w:numPr>
          <w:ilvl w:val="0"/>
          <w:numId w:val="8"/>
        </w:numPr>
      </w:pPr>
      <w:r>
        <w:t>protection against discriminatory denial of service within the lawful market;</w:t>
      </w:r>
    </w:p>
    <w:p>
      <w:pPr>
        <w:pStyle w:val="ListParagraph"/>
        <w:numPr>
          <w:ilvl w:val="0"/>
          <w:numId w:val="8"/>
        </w:numPr>
      </w:pPr>
      <w:r>
        <w:t>fixed procedures for complaints, cure, suspension, and revocation; and</w:t>
      </w:r>
    </w:p>
    <w:p>
      <w:pPr>
        <w:pStyle w:val="ListParagraph"/>
        <w:numPr>
          <w:ilvl w:val="0"/>
          <w:numId w:val="8"/>
        </w:numPr>
      </w:pPr>
      <w:r>
        <w:t>automatic expiration if beneficiary voting control is sold, pledged, or otherwise defeated.</w:t>
      </w:r>
    </w:p>
    <w:p>
      <w:pPr/>
      <w:r>
        <w:t>The protected commercial field is defined narrowly. The association receives no immunity for price fixing or exclusion outside that field. State-action protection applies only to conduct clearly authorized and actively supervised under the compact.</w:t>
      </w:r>
    </w:p>
    <w:p>
      <w:pPr>
        <w:pStyle w:val="Heading1"/>
      </w:pPr>
      <w:r>
        <w:t>XI. Relationship to The Garden</w:t>
      </w:r>
    </w:p>
    <w:p>
      <w:pPr/>
      <w:r>
        <w:t>The Garden and The Cornerstone draw restitution from the same store of prohibited liberties, but they repair different injuries through different institutions.</w:t>
      </w:r>
    </w:p>
    <w:p>
      <w:pPr/>
      <w:r>
        <w:t>The Garden repairs a collective and intergenerational destruction of nations, inheritance, and self-government. Participating states compact with voluntary African American Republican Tribal Nations. The nation receives and governs the restored liberty, and the enterprise becomes an economic engine for a continuing political community.</w:t>
      </w:r>
    </w:p>
    <w:p>
      <w:pPr/>
      <w:r>
        <w:t>The Cornerstone repairs deliberate injury to identifiable individuals. Participating states compact with voluntary worker-owned associations. Every injured worker holds a direct membership, vote, ownership interest, and opportunity in the restored enterprise. The association exists to exercise the members' restitution; it is not a new sovereign or tribal nation.</w:t>
      </w:r>
    </w:p>
    <w:p>
      <w:pPr/>
      <w:r>
        <w:t>A person may qualify under both policies because the debts are different. Membership in an African American Republican Tribal Nation does not cancel a separate debt arising from the deliberate destruction of that person's job. No prohibited liberty, however, may be counted twice, and every compact remains subject to its own no-new-harm test.</w:t>
      </w:r>
    </w:p>
    <w:p>
      <w:pPr>
        <w:pStyle w:val="Heading1"/>
      </w:pPr>
      <w:r>
        <w:t>XII. Implementation Sequence</w:t>
      </w:r>
    </w:p>
    <w:p>
      <w:pPr>
        <w:pStyle w:val="ListParagraph"/>
        <w:numPr>
          <w:ilvl w:val="0"/>
          <w:numId w:val="9"/>
        </w:numPr>
      </w:pPr>
      <w:r>
        <w:rPr>
          <w:b/>
        </w:rPr>
        <w:t>Enact the federal framework.</w:t>
      </w:r>
      <w:r>
        <w:t xml:space="preserve"> Congress establishes certification standards, the Cornerstone charter, the Exchange, the Founding Fund, federal compact authorizations, judicial review, and public safeguards.</w:t>
      </w:r>
    </w:p>
    <w:p>
      <w:pPr>
        <w:pStyle w:val="ListParagraph"/>
        <w:numPr>
          <w:ilvl w:val="0"/>
          <w:numId w:val="9"/>
        </w:numPr>
      </w:pPr>
      <w:r>
        <w:rPr>
          <w:b/>
        </w:rPr>
        <w:t>Receive and certify petitions.</w:t>
      </w:r>
      <w:r>
        <w:t xml:space="preserve"> The Department of Labor investigates governmental intent, causation, covered worksites, and the causal period.</w:t>
      </w:r>
    </w:p>
    <w:p>
      <w:pPr>
        <w:pStyle w:val="ListParagraph"/>
        <w:numPr>
          <w:ilvl w:val="0"/>
          <w:numId w:val="9"/>
        </w:numPr>
      </w:pPr>
      <w:r>
        <w:rPr>
          <w:b/>
        </w:rPr>
        <w:t>Enroll individuals.</w:t>
      </w:r>
      <w:r>
        <w:t xml:space="preserve"> Workers prove eligibility under the certification and elect voluntary Cornerstone Associations before rights are allocated.</w:t>
      </w:r>
    </w:p>
    <w:p>
      <w:pPr>
        <w:pStyle w:val="ListParagraph"/>
        <w:numPr>
          <w:ilvl w:val="0"/>
          <w:numId w:val="9"/>
        </w:numPr>
      </w:pPr>
      <w:r>
        <w:rPr>
          <w:b/>
        </w:rPr>
        <w:t>Open state participation.</w:t>
      </w:r>
      <w:r>
        <w:t xml:space="preserve"> States enact enabling laws and publish industry-and-district offers under the no-new-harm test.</w:t>
      </w:r>
    </w:p>
    <w:p>
      <w:pPr>
        <w:pStyle w:val="ListParagraph"/>
        <w:numPr>
          <w:ilvl w:val="0"/>
          <w:numId w:val="9"/>
        </w:numPr>
      </w:pPr>
      <w:r>
        <w:rPr>
          <w:b/>
        </w:rPr>
        <w:t>Run sealed matching.</w:t>
      </w:r>
      <w:r>
        <w:t xml:space="preserve"> Associations rank offers; the Exchange applies the fixed rule; the oldest unpaid events receive priority where choices conflict.</w:t>
      </w:r>
    </w:p>
    <w:p>
      <w:pPr>
        <w:pStyle w:val="ListParagraph"/>
        <w:numPr>
          <w:ilvl w:val="0"/>
          <w:numId w:val="9"/>
        </w:numPr>
      </w:pPr>
      <w:r>
        <w:rPr>
          <w:b/>
        </w:rPr>
        <w:t>Negotiate and certify compacts.</w:t>
      </w:r>
      <w:r>
        <w:t xml:space="preserve"> States and associations finalize operating terms; federal regulators supply any required national authorization.</w:t>
      </w:r>
    </w:p>
    <w:p>
      <w:pPr>
        <w:pStyle w:val="ListParagraph"/>
        <w:numPr>
          <w:ilvl w:val="0"/>
          <w:numId w:val="9"/>
        </w:numPr>
      </w:pPr>
      <w:r>
        <w:rPr>
          <w:b/>
        </w:rPr>
        <w:t>Form and finance enterprises.</w:t>
      </w:r>
      <w:r>
        <w:t xml:space="preserve"> The Founding Fund prepares the institution; private capital finances operations; members receive training and direct opportunities.</w:t>
      </w:r>
    </w:p>
    <w:p>
      <w:pPr>
        <w:pStyle w:val="ListParagraph"/>
        <w:numPr>
          <w:ilvl w:val="0"/>
          <w:numId w:val="9"/>
        </w:numPr>
      </w:pPr>
      <w:r>
        <w:rPr>
          <w:b/>
        </w:rPr>
        <w:t>Operate, repay, and audit.</w:t>
      </w:r>
      <w:r>
        <w:t xml:space="preserve"> Enterprises begin; the public advance is repaid by formula and expires; independent supervisors enforce the compact.</w:t>
      </w:r>
    </w:p>
    <w:p>
      <w:pPr>
        <w:pStyle w:val="ListParagraph"/>
        <w:numPr>
          <w:ilvl w:val="0"/>
          <w:numId w:val="9"/>
        </w:numPr>
      </w:pPr>
      <w:r>
        <w:rPr>
          <w:b/>
        </w:rPr>
        <w:t>Open the market at expiration.</w:t>
      </w:r>
      <w:r>
        <w:t xml:space="preserve"> After the fixed term, the monopoly ends and ordinary law governs entry unless the legislature has already opened the trade elsewhere.</w:t>
      </w:r>
    </w:p>
    <w:p>
      <w:pPr>
        <w:pStyle w:val="Heading1"/>
      </w:pPr>
      <w:r>
        <w:t>XIII. A Concrete Example</w:t>
      </w:r>
    </w:p>
    <w:p>
      <w:pPr/>
      <w:r>
        <w:t>Suppose an administration formally adopts the objective of eliminating coal-fired generation, directs agencies to make continued operation uneconomic, and publicly identifies the contraction of coal mining as an intended result. Mines close pursuant to that program. The Department of Labor certifies the action, the covered counties and worksites, and the affected miners, railroad workers, and owner-operators whose principal livelihoods were directly lost.</w:t>
      </w:r>
    </w:p>
    <w:p>
      <w:pPr/>
      <w:r>
        <w:t>The workers form several regional Cornerstone Associations before any opportunity is assigned. In another participating state, a presently prohibited regulated trade is about to be opened for the first time in selected districts. The state publishes a Cornerstone offer covering cultivation, processing, distribution, or another lawful segment that has no incumbent private operators in those districts. The associations rank the offer. One is matched, negotiates a compact, and uses the Founding Fund for feasibility work, licensing, and training.</w:t>
      </w:r>
    </w:p>
    <w:p>
      <w:pPr/>
      <w:r>
        <w:t>The association raises private capital without surrendering voting control. Members with industrial, electrical, mechanical, logistics, safety, and supervisory experience enter related operating roles after training. Other members operate local franchises or remain owners while pursuing different work. The enterprise hires nonmembers as it grows, pays ordinary taxes, and repays the Founding Fund. No existing operator was displaced because the market did not lawfully exist in the district before the compact. The workers were not compensated according to a bureaucratic estimate of what their former lives were worth. They were given the lawful foundation from which to build new ones.</w:t>
      </w:r>
      <w:r/>
    </w:p>
    <w:p>
      <w:pPr>
        <w:pStyle w:val="Heading1"/>
      </w:pPr>
      <w:r>
        <w:t>XIV. Legal Architecture and Selected Precedents</w:t>
      </w:r>
    </w:p>
    <w:p>
      <w:pPr/>
      <w:r>
        <w:t>The Cornerstone is a policy design, not a prediction that every compact will survive every state constitution without enabling legislation. Its legal architecture is deliberately conservative in five respects.</w:t>
      </w:r>
    </w:p>
    <w:p>
      <w:pPr/>
      <w:r>
        <w:t>First, group certification follows a familiar administrative model. The federal Trade Adjustment Assistance statutes and Department of Labor petition process demonstrate that government can investigate group separations, certify covered worker groups, and then adjudicate individual eligibility under published rules.</w:t>
      </w:r>
    </w:p>
    <w:p>
      <w:pPr/>
      <w:r>
        <w:t>Second, the eligibility classification rests on proven direct governmental injury, not race, party, viewpoint, or residence. The public purpose is payment of a defined public debt and restoration of productive capacity.</w:t>
      </w:r>
    </w:p>
    <w:p>
      <w:pPr/>
      <w:r>
        <w:t>Third, the state-action doctrine recognizes that a sovereign state may deliberately displace competition to pursue public objectives. The design therefore requires the legislature to articulate that purpose expressly and requires genuine supervision by an independent state official rather than by the market participants who benefit.</w:t>
      </w:r>
    </w:p>
    <w:p>
      <w:pPr/>
      <w:r>
        <w:t>Fourth, the policy avoids taking an existing market. The admissibility test excludes every district in which a private citizen already lawfully occupies or competes for the relevant economic position.</w:t>
      </w:r>
    </w:p>
    <w:p>
      <w:pPr/>
      <w:r>
        <w:t>Fifth, interstate participation is open. The compact's geography identifies where the activity occurs, not where members or customers must reside. Congress expressly authorizes compact-related effects on interstate commerce, while the program independently avoids residence discrimination that could burden the Privileges and Immunities Clause.</w:t>
      </w:r>
    </w:p>
    <w:p>
      <w:pPr/>
      <w:r>
        <w:t>State constitutions differ. Some restrict exclusive privileges, special legislation, public credit, or gifts. Each participating state must therefore enact a general Cornerstone enabling law and complete a state-specific constitutional review before publishing an offer. Where a state constitution requires a public vote or amendment, the state must obtain it. Voluntary participation is a structural safeguard, not a drafting convenience.</w:t>
      </w:r>
    </w:p>
    <w:p>
      <w:pPr>
        <w:pStyle w:val="Heading2"/>
      </w:pPr>
      <w:r>
        <w:t>Selected primary authorities and administrative models</w:t>
      </w:r>
    </w:p>
    <w:p>
      <w:pPr>
        <w:pStyle w:val="ListParagraph"/>
        <w:numPr>
          <w:ilvl w:val="0"/>
          <w:numId w:val="10"/>
        </w:numPr>
      </w:pPr>
      <w:r>
        <w:t xml:space="preserve">U.S. Department of Labor, Petition for Trade Adjustment Assistance, ETA-9042: </w:t>
      </w:r>
      <w:hyperlink r:id="rId16">
        <w:r>
          <w:rPr>
            <w:color w:val="0563C1"/>
            <w:u w:val="single"/>
          </w:rPr>
          <w:t>https://www.dol.gov/sites/dolgov/files/ETA/tradeact/pdfs/petition.pdf</w:t>
        </w:r>
      </w:hyperlink>
    </w:p>
    <w:p>
      <w:pPr>
        <w:pStyle w:val="ListParagraph"/>
        <w:numPr>
          <w:ilvl w:val="0"/>
          <w:numId w:val="10"/>
        </w:numPr>
      </w:pPr>
      <w:r>
        <w:t xml:space="preserve">19 U.S.C. Sections 2271-2272, Trade Adjustment Assistance petitions and group eligibility: </w:t>
      </w:r>
      <w:hyperlink r:id="rId17">
        <w:r>
          <w:rPr>
            <w:color w:val="0563C1"/>
            <w:u w:val="single"/>
          </w:rPr>
          <w:t>https://uscode.house.gov/view.xhtml?req=(title:19%20section:2272%20edition:prelim)</w:t>
        </w:r>
      </w:hyperlink>
    </w:p>
    <w:p>
      <w:pPr>
        <w:pStyle w:val="ListParagraph"/>
        <w:numPr>
          <w:ilvl w:val="0"/>
          <w:numId w:val="10"/>
        </w:numPr>
      </w:pPr>
      <w:r>
        <w:rPr>
          <w:i/>
        </w:rPr>
        <w:t>Parker v. Brown</w:t>
      </w:r>
      <w:r>
        <w:t xml:space="preserve">, 317 U.S. 341 (1943), state action and sovereign regulation of competition: </w:t>
      </w:r>
      <w:hyperlink r:id="rId18">
        <w:r>
          <w:rPr>
            <w:color w:val="0563C1"/>
            <w:u w:val="single"/>
          </w:rPr>
          <w:t>https://www.govinfo.gov/app/details/USREPORTS-317/USREPORTS-317-341</w:t>
        </w:r>
      </w:hyperlink>
    </w:p>
    <w:p>
      <w:pPr>
        <w:pStyle w:val="ListParagraph"/>
        <w:numPr>
          <w:ilvl w:val="0"/>
          <w:numId w:val="10"/>
        </w:numPr>
      </w:pPr>
      <w:r>
        <w:t xml:space="preserve">Federal Trade Commission, Staff Guidance on Active Supervision of State Regulatory Boards: </w:t>
      </w:r>
      <w:hyperlink r:id="rId19">
        <w:r>
          <w:rPr>
            <w:color w:val="0563C1"/>
            <w:u w:val="single"/>
          </w:rPr>
          <w:t>https://www.ftc.gov/system/files/attachments/competition-policy-guidance/active_supervision_of_state_boards.pdf</w:t>
        </w:r>
      </w:hyperlink>
    </w:p>
    <w:p>
      <w:pPr>
        <w:pStyle w:val="ListParagraph"/>
        <w:numPr>
          <w:ilvl w:val="0"/>
          <w:numId w:val="10"/>
        </w:numPr>
      </w:pPr>
      <w:r>
        <w:rPr>
          <w:i/>
        </w:rPr>
        <w:t>North Carolina State Board of Dental Examiners v. FTC</w:t>
      </w:r>
      <w:r>
        <w:t xml:space="preserve">, 574 U.S. 494 (2015), clear state policy and active supervision of market-participant boards: </w:t>
      </w:r>
      <w:hyperlink r:id="rId20">
        <w:r>
          <w:rPr>
            <w:color w:val="0563C1"/>
            <w:u w:val="single"/>
          </w:rPr>
          <w:t>https://www.supremecourt.gov/docketfiles/13-534.htm</w:t>
        </w:r>
      </w:hyperlink>
    </w:p>
    <w:p>
      <w:pPr>
        <w:pStyle w:val="ListParagraph"/>
        <w:numPr>
          <w:ilvl w:val="0"/>
          <w:numId w:val="10"/>
        </w:numPr>
      </w:pPr>
      <w:r>
        <w:rPr>
          <w:i/>
        </w:rPr>
        <w:t>Toomer v. Witsell</w:t>
      </w:r>
      <w:r>
        <w:t xml:space="preserve">, 334 U.S. 385 (1948), state discrimination against nonresidents pursuing a common calling: </w:t>
      </w:r>
      <w:hyperlink r:id="rId21">
        <w:r>
          <w:rPr>
            <w:color w:val="0563C1"/>
            <w:u w:val="single"/>
          </w:rPr>
          <w:t>https://www.govinfo.gov/app/details/USREPORTS-334/USREPORTS-334-385</w:t>
        </w:r>
      </w:hyperlink>
    </w:p>
    <w:p>
      <w:pPr>
        <w:pStyle w:val="ListParagraph"/>
        <w:numPr>
          <w:ilvl w:val="0"/>
          <w:numId w:val="10"/>
        </w:numPr>
      </w:pPr>
      <w:r>
        <w:rPr>
          <w:i/>
        </w:rPr>
        <w:t>Tennessee Wine &amp; Spirits Retailers Association v. Thomas</w:t>
      </w:r>
      <w:r>
        <w:t xml:space="preserve">, 588 U.S. 504 (2019), residence restrictions and interstate commerce: </w:t>
      </w:r>
      <w:hyperlink r:id="rId22">
        <w:r>
          <w:rPr>
            <w:color w:val="0563C1"/>
            <w:u w:val="single"/>
          </w:rPr>
          <w:t>https://www.supremecourt.gov/opinions/18pdf/18-96_5i36.pdf</w:t>
        </w:r>
      </w:hyperlink>
    </w:p>
    <w:p>
      <w:pPr>
        <w:pStyle w:val="ListParagraph"/>
        <w:numPr>
          <w:ilvl w:val="0"/>
          <w:numId w:val="10"/>
        </w:numPr>
      </w:pPr>
      <w:r>
        <w:rPr>
          <w:i/>
        </w:rPr>
        <w:t>Northeast Bancorp v. Board of Governors</w:t>
      </w:r>
      <w:r>
        <w:t xml:space="preserve">, 472 U.S. 159 (1985), congressionally authorized state arrangements and interstate commerce: </w:t>
      </w:r>
      <w:hyperlink r:id="rId23">
        <w:r>
          <w:rPr>
            <w:color w:val="0563C1"/>
            <w:u w:val="single"/>
          </w:rPr>
          <w:t>https://www.govinfo.gov/app/details/USREPORTS-472/USREPORTS-472-159</w:t>
        </w:r>
      </w:hyperlink>
    </w:p>
    <w:p>
      <w:pPr>
        <w:pStyle w:val="Heading1"/>
      </w:pPr>
      <w:r>
        <w:t>Conclusion</w:t>
      </w:r>
    </w:p>
    <w:p>
      <w:pPr/>
      <w:r>
        <w:t>Government may change national policy. It may decide that a lawful industry should end. What it may not honorably do is announce that objective, deliberately destroy the livelihoods of particular citizens to achieve it, and then insist that the public benefit has canceled the private debt.</w:t>
      </w:r>
    </w:p>
    <w:p>
      <w:pPr/>
      <w:r>
        <w:t>The Cornerstone makes the government complete its own policy. If the state chooses the destruction, it must also provide the foundation from which the people it displaced can build again. The remedy takes no existing field, writes no compensatory check, and gives no official power to choose favorites. It returns a liberty government already took, through a state that volunteers it, to the individuals government directly wronged.</w:t>
      </w:r>
    </w:p>
    <w:p>
      <w:pPr/>
      <w:r>
        <w:t>The worker receives no promise of comfort and no guarantee of profit. The worker receives something more American: ownership, voice, an open road, and a fair foundation on which effort can matter again.</w:t>
      </w:r>
    </w:p>
    <w:sectPr w:rsidR="005615EB" w:rsidRPr="004A78CC">
      <w:headerReference w:type="default" r:id="rId11"/>
      <w:footerReference w:type="even" r:id="rId12"/>
      <w:footerReference w:type="default" r:id="rId13"/>
      <w:footerReference w:type="first" r:id="rId24"/>
      <w:pgSz w:w="12240" w:h="15840"/>
      <w:pgMar w:top="1080" w:right="1152" w:bottom="108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DDD12" w14:textId="77777777" w:rsidR="003A7DEA" w:rsidRDefault="003A7DEA" w:rsidP="00262EC7">
      <w:pPr>
        <w:spacing w:after="0" w:line="240" w:lineRule="auto"/>
      </w:pPr>
      <w:r>
        <w:separator/>
      </w:r>
    </w:p>
  </w:endnote>
  <w:endnote w:type="continuationSeparator" w:id="0">
    <w:p w14:paraId="68E6BDFA" w14:textId="77777777" w:rsidR="003A7DEA" w:rsidRDefault="003A7DEA" w:rsidP="0026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idot">
    <w:panose1 w:val="02000503000000020003"/>
    <w:charset w:val="B1"/>
    <w:family w:val="auto"/>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19187358"/>
      <w:docPartObj>
        <w:docPartGallery w:val="Page Numbers (Bottom of Page)"/>
        <w:docPartUnique/>
      </w:docPartObj>
    </w:sdtPr>
    <w:sdtContent>
      <w:p w14:paraId="6EE5CC73" w14:textId="5E0AA02C" w:rsidR="00A513F2" w:rsidRDefault="00A513F2" w:rsidP="004A0E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511536077"/>
      <w:docPartObj>
        <w:docPartGallery w:val="Page Numbers (Bottom of Page)"/>
        <w:docPartUnique/>
      </w:docPartObj>
    </w:sdtPr>
    <w:sdtContent>
      <w:p w14:paraId="28BD70C1" w14:textId="10713836" w:rsidR="00BD4B9F" w:rsidRDefault="00BD4B9F" w:rsidP="00A513F2">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CC17E4" w14:textId="77777777" w:rsidR="00BD4B9F" w:rsidRDefault="00BD4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312"/>
      <w:gridCol w:w="3312"/>
      <w:gridCol w:w="3312"/>
    </w:tblGrid>
    <w:tr>
      <w:tc>
        <w:tcPr>
          <w:tcW w:type="dxa" w:w="2271369"/>
          <w:vAlign w:val="center"/>
        </w:tcPr>
        <w:p>
          <w:pPr>
            <w:jc w:val="left"/>
          </w:pPr>
          <w:r>
            <w:rPr>
              <w:rFonts w:ascii="Arial" w:hAnsi="Arial"/>
              <w:color w:val="666666"/>
              <w:sz w:val="16"/>
            </w:rPr>
            <w:t>September 28, 2026</w:t>
          </w:r>
        </w:p>
      </w:tc>
      <w:tc>
        <w:tcPr>
          <w:tcW w:type="dxa" w:w="1766620"/>
          <w:vAlign w:val="center"/>
        </w:tcPr>
        <w:p>
          <w:pPr>
            <w:jc w:val="center"/>
          </w:pPr>
          <w:r/>
        </w:p>
      </w:tc>
      <w:tc>
        <w:tcPr>
          <w:tcW w:type="dxa" w:w="2271369"/>
          <w:vAlign w:val="center"/>
        </w:tcPr>
        <w:p>
          <w:pPr>
            <w:jc w:val="right"/>
          </w:pPr>
          <w:r>
            <w:rPr>
              <w:rFonts w:ascii="Arial" w:hAnsi="Arial"/>
              <w:color w:val="666666"/>
              <w:sz w:val="16"/>
            </w:rPr>
            <w:t xml:space="preserve">Page </w:t>
          </w:r>
          <w:fldSimple w:instr="PAGE">
            <w:r>
              <w:rPr>
                <w:rFonts w:ascii="Arial" w:hAnsi="Arial"/>
                <w:color w:val="666666"/>
                <w:sz w:val="16"/>
              </w:rPr>
              <w:t>1</w:t>
            </w:r>
          </w:fldSimple>
          <w:r>
            <w:rPr>
              <w:rFonts w:ascii="Arial" w:hAnsi="Arial"/>
              <w:color w:val="666666"/>
              <w:sz w:val="16"/>
            </w:rPr>
            <w:t xml:space="preserve"> of </w:t>
          </w:r>
          <w:fldSimple w:instr="NUMPAGES">
            <w:r>
              <w:rPr>
                <w:rFonts w:ascii="Arial" w:hAnsi="Arial"/>
                <w:color w:val="666666"/>
                <w:sz w:val="16"/>
              </w:rPr>
              <w:t>1</w:t>
            </w:r>
          </w:fldSimple>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02E77B" w14:textId="77777777" w:rsidR="003A7DEA" w:rsidRDefault="003A7DEA" w:rsidP="00262EC7">
      <w:pPr>
        <w:spacing w:after="0" w:line="240" w:lineRule="auto"/>
      </w:pPr>
      <w:r>
        <w:separator/>
      </w:r>
    </w:p>
  </w:footnote>
  <w:footnote w:type="continuationSeparator" w:id="0">
    <w:p w14:paraId="24A6CED5" w14:textId="77777777" w:rsidR="003A7DEA" w:rsidRDefault="003A7DEA" w:rsidP="00262EC7">
      <w:pPr>
        <w:spacing w:after="0" w:line="240" w:lineRule="auto"/>
      </w:pPr>
      <w:r>
        <w:continuationSeparator/>
      </w:r>
    </w:p>
  </w:footnote>
  <w:footnote w:id="1">
    <w:p w14:paraId="48969630" w14:textId="360DA884" w:rsidR="00444FA0" w:rsidRPr="00444FA0" w:rsidRDefault="00444FA0" w:rsidP="00444FA0">
      <w:pPr>
        <w:pStyle w:val="font-claude-response-body"/>
        <w:rPr>
          <w:rFonts w:ascii="Didot" w:hAnsi="Didot" w:cs="Didot"/>
          <w:color w:val="000000" w:themeColor="text1"/>
        </w:rPr>
      </w:pPr>
      <w:r>
        <w:rPr>
          <w:rStyle w:val="FootnoteReference"/>
        </w:rPr>
        <w:footnoteRef/>
      </w:r>
      <w:r>
        <w:t xml:space="preserve"> </w:t>
      </w:r>
      <w:r w:rsidRPr="00975649">
        <w:rPr>
          <w:rFonts w:ascii="Didot" w:hAnsi="Didot" w:cs="Didot"/>
          <w:sz w:val="16"/>
          <w:szCs w:val="16"/>
        </w:rPr>
        <w:t>Braiding Sweetgrass: Indigenous Wisdom, Scientific Knowledge, and the Teachings of Plants</w:t>
      </w:r>
      <w:r w:rsidRPr="00975649">
        <w:rPr>
          <w:rFonts w:ascii="Didot" w:hAnsi="Didot" w:cs="Didot" w:hint="cs"/>
          <w:sz w:val="16"/>
          <w:szCs w:val="16"/>
        </w:rPr>
        <w:t>, 2013, Robin Wall Kimmerer, Milkweed Editions, Minneapolis, Minnesota.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0341D2" w14:textId="69791677" w:rsidR="00BD4B9F" w:rsidRPr="00BA5E09" w:rsidRDefault="00BD4B9F">
    <w:pPr>
      <w:pStyle w:val="Header"/>
      <w:rPr>
        <w:rFonts w:ascii="Century Schoolbook" w:hAnsi="Century Schoolbook" w:cs="Didot"/>
        <w:color w:val="000000" w:themeColor="text1"/>
        <w:sz w:val="20"/>
        <w:szCs w:val="20"/>
      </w:rPr>
    </w:pPr>
    <w:r>
      <w:t>Phillip Galinsky for America 2028 | Policy Paper</w:t>
      <w:tab/>
      <w:t>galinsky2028.us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1F7B96"/>
    <w:multiLevelType w:val="hybridMultilevel"/>
    <w:tmpl w:val="F904B7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4D3AA1"/>
    <w:multiLevelType w:val="multilevel"/>
    <w:tmpl w:val="E2FC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963870"/>
    <w:multiLevelType w:val="multilevel"/>
    <w:tmpl w:val="C576E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388043">
    <w:abstractNumId w:val="0"/>
  </w:num>
  <w:num w:numId="2" w16cid:durableId="755593075">
    <w:abstractNumId w:val="2"/>
  </w:num>
  <w:num w:numId="3" w16cid:durableId="113718921">
    <w:abstractNumId w:val="1"/>
  </w:num>
  <w:abstractNum w:abstractNumId="3">
    <w:multiLevelType w:val="singleLevel"/>
    <w:lvl w:ilvl="0">
      <w:start w:val="1"/>
      <w:numFmt w:val="bullet"/>
      <w:lvlText w:val="•"/>
      <w:suff w:val="tab"/>
      <w:pPr>
        <w:tabs>
          <w:tab w:val="num" w:pos="720"/>
        </w:tabs>
        <w:ind w:left="720" w:hanging="360"/>
        <w:spacing w:after="80" w:line="264" w:lineRule="auto"/>
      </w:pPr>
      <w:rPr>
        <w:rFonts w:ascii="Arial" w:hAnsi="Arial"/>
      </w:rPr>
    </w:lvl>
  </w:abstractNum>
  <w:num w:numId="4">
    <w:abstractNumId w:val="3"/>
  </w:num>
  <w:abstractNum w:abstractNumId="4">
    <w:multiLevelType w:val="singleLevel"/>
    <w:lvl w:ilvl="0">
      <w:start w:val="1"/>
      <w:numFmt w:val="decimal"/>
      <w:lvlText w:val="%1."/>
      <w:suff w:val="tab"/>
      <w:pPr>
        <w:tabs>
          <w:tab w:val="num" w:pos="720"/>
        </w:tabs>
        <w:ind w:left="720" w:hanging="360"/>
        <w:spacing w:after="80" w:line="264" w:lineRule="auto"/>
      </w:pPr>
    </w:lvl>
  </w:abstractNum>
  <w:num w:numId="5">
    <w:abstractNumId w:val="4"/>
  </w:num>
  <w:abstractNum w:abstractNumId="5">
    <w:multiLevelType w:val="singleLevel"/>
    <w:lvl w:ilvl="0">
      <w:start w:val="1"/>
      <w:numFmt w:val="bullet"/>
      <w:lvlText w:val="•"/>
      <w:suff w:val="tab"/>
      <w:pPr>
        <w:tabs>
          <w:tab w:val="num" w:pos="720"/>
        </w:tabs>
        <w:ind w:left="720" w:hanging="360"/>
        <w:spacing w:after="80" w:line="264" w:lineRule="auto"/>
      </w:pPr>
      <w:rPr>
        <w:rFonts w:ascii="Arial" w:hAnsi="Arial"/>
      </w:rPr>
    </w:lvl>
  </w:abstractNum>
  <w:num w:numId="6">
    <w:abstractNumId w:val="5"/>
  </w:num>
  <w:abstractNum w:abstractNumId="6">
    <w:multiLevelType w:val="singleLevel"/>
    <w:lvl w:ilvl="0">
      <w:start w:val="1"/>
      <w:numFmt w:val="bullet"/>
      <w:lvlText w:val="•"/>
      <w:suff w:val="tab"/>
      <w:pPr>
        <w:tabs>
          <w:tab w:val="num" w:pos="720"/>
        </w:tabs>
        <w:ind w:left="720" w:hanging="360"/>
        <w:spacing w:after="80" w:line="264" w:lineRule="auto"/>
      </w:pPr>
      <w:rPr>
        <w:rFonts w:ascii="Arial" w:hAnsi="Arial"/>
      </w:rPr>
    </w:lvl>
  </w:abstractNum>
  <w:num w:numId="7">
    <w:abstractNumId w:val="6"/>
  </w:num>
  <w:abstractNum w:abstractNumId="7">
    <w:multiLevelType w:val="singleLevel"/>
    <w:lvl w:ilvl="0">
      <w:start w:val="1"/>
      <w:numFmt w:val="bullet"/>
      <w:lvlText w:val="•"/>
      <w:suff w:val="tab"/>
      <w:pPr>
        <w:tabs>
          <w:tab w:val="num" w:pos="720"/>
        </w:tabs>
        <w:ind w:left="720" w:hanging="360"/>
        <w:spacing w:after="80" w:line="264" w:lineRule="auto"/>
      </w:pPr>
      <w:rPr>
        <w:rFonts w:ascii="Arial" w:hAnsi="Arial"/>
      </w:rPr>
    </w:lvl>
  </w:abstractNum>
  <w:num w:numId="8">
    <w:abstractNumId w:val="7"/>
  </w:num>
  <w:abstractNum w:abstractNumId="8">
    <w:multiLevelType w:val="singleLevel"/>
    <w:lvl w:ilvl="0">
      <w:start w:val="1"/>
      <w:numFmt w:val="decimal"/>
      <w:lvlText w:val="%1."/>
      <w:suff w:val="tab"/>
      <w:pPr>
        <w:tabs>
          <w:tab w:val="num" w:pos="720"/>
        </w:tabs>
        <w:ind w:left="720" w:hanging="360"/>
        <w:spacing w:after="80" w:line="264" w:lineRule="auto"/>
      </w:pPr>
    </w:lvl>
  </w:abstractNum>
  <w:num w:numId="9">
    <w:abstractNumId w:val="8"/>
  </w:num>
  <w:abstractNum w:abstractNumId="9">
    <w:multiLevelType w:val="singleLevel"/>
    <w:lvl w:ilvl="0">
      <w:start w:val="1"/>
      <w:numFmt w:val="bullet"/>
      <w:lvlText w:val="•"/>
      <w:suff w:val="tab"/>
      <w:pPr>
        <w:tabs>
          <w:tab w:val="num" w:pos="720"/>
        </w:tabs>
        <w:ind w:left="720" w:hanging="360"/>
        <w:spacing w:after="80" w:line="264" w:lineRule="auto"/>
      </w:pPr>
      <w:rPr>
        <w:rFonts w:ascii="Arial" w:hAnsi="Arial"/>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EF"/>
    <w:rsid w:val="00004EA9"/>
    <w:rsid w:val="00076EF8"/>
    <w:rsid w:val="00093949"/>
    <w:rsid w:val="000A0590"/>
    <w:rsid w:val="000C4861"/>
    <w:rsid w:val="000C7DBC"/>
    <w:rsid w:val="000E7614"/>
    <w:rsid w:val="000F3A2A"/>
    <w:rsid w:val="00103749"/>
    <w:rsid w:val="001357D9"/>
    <w:rsid w:val="0014497F"/>
    <w:rsid w:val="001525FE"/>
    <w:rsid w:val="00180225"/>
    <w:rsid w:val="001D5025"/>
    <w:rsid w:val="002053C5"/>
    <w:rsid w:val="002234D5"/>
    <w:rsid w:val="002244CA"/>
    <w:rsid w:val="00245424"/>
    <w:rsid w:val="002515DE"/>
    <w:rsid w:val="00262EC7"/>
    <w:rsid w:val="00266289"/>
    <w:rsid w:val="002746E1"/>
    <w:rsid w:val="002D30D3"/>
    <w:rsid w:val="002E3C97"/>
    <w:rsid w:val="002E56E3"/>
    <w:rsid w:val="002E619F"/>
    <w:rsid w:val="002F05D9"/>
    <w:rsid w:val="003060DF"/>
    <w:rsid w:val="00314AAC"/>
    <w:rsid w:val="00337C8D"/>
    <w:rsid w:val="003844E3"/>
    <w:rsid w:val="00394E37"/>
    <w:rsid w:val="003A7DEA"/>
    <w:rsid w:val="003B720A"/>
    <w:rsid w:val="003F4137"/>
    <w:rsid w:val="00426D11"/>
    <w:rsid w:val="0044242D"/>
    <w:rsid w:val="00444FA0"/>
    <w:rsid w:val="00445263"/>
    <w:rsid w:val="004A0EFD"/>
    <w:rsid w:val="004A78CC"/>
    <w:rsid w:val="004B05BA"/>
    <w:rsid w:val="004D0101"/>
    <w:rsid w:val="005407C5"/>
    <w:rsid w:val="005615EB"/>
    <w:rsid w:val="00564BBB"/>
    <w:rsid w:val="00567B99"/>
    <w:rsid w:val="00583D6F"/>
    <w:rsid w:val="00592211"/>
    <w:rsid w:val="00597F2C"/>
    <w:rsid w:val="005A17DE"/>
    <w:rsid w:val="005C238E"/>
    <w:rsid w:val="005F2CD6"/>
    <w:rsid w:val="00611CDD"/>
    <w:rsid w:val="00643EEF"/>
    <w:rsid w:val="00647885"/>
    <w:rsid w:val="00670A1D"/>
    <w:rsid w:val="00672B52"/>
    <w:rsid w:val="00691542"/>
    <w:rsid w:val="00692F30"/>
    <w:rsid w:val="006C2CED"/>
    <w:rsid w:val="006D14B1"/>
    <w:rsid w:val="006E7575"/>
    <w:rsid w:val="0074510E"/>
    <w:rsid w:val="00765EC4"/>
    <w:rsid w:val="0077104C"/>
    <w:rsid w:val="0077420A"/>
    <w:rsid w:val="0079084F"/>
    <w:rsid w:val="007A702A"/>
    <w:rsid w:val="007C04F8"/>
    <w:rsid w:val="007C5F66"/>
    <w:rsid w:val="007D4879"/>
    <w:rsid w:val="007F3E2C"/>
    <w:rsid w:val="00841B6E"/>
    <w:rsid w:val="00852579"/>
    <w:rsid w:val="00864D42"/>
    <w:rsid w:val="00890FEF"/>
    <w:rsid w:val="008C4668"/>
    <w:rsid w:val="008D678F"/>
    <w:rsid w:val="008E357A"/>
    <w:rsid w:val="008F3C17"/>
    <w:rsid w:val="0093090D"/>
    <w:rsid w:val="00932A8F"/>
    <w:rsid w:val="00932EF6"/>
    <w:rsid w:val="009406AA"/>
    <w:rsid w:val="00957D02"/>
    <w:rsid w:val="00960FCD"/>
    <w:rsid w:val="00967EEF"/>
    <w:rsid w:val="00975649"/>
    <w:rsid w:val="00980BA4"/>
    <w:rsid w:val="009813CF"/>
    <w:rsid w:val="00984F67"/>
    <w:rsid w:val="009C006A"/>
    <w:rsid w:val="009C4DB2"/>
    <w:rsid w:val="009E237E"/>
    <w:rsid w:val="00A16346"/>
    <w:rsid w:val="00A255B9"/>
    <w:rsid w:val="00A31B65"/>
    <w:rsid w:val="00A328DE"/>
    <w:rsid w:val="00A34519"/>
    <w:rsid w:val="00A4265B"/>
    <w:rsid w:val="00A467FE"/>
    <w:rsid w:val="00A46D67"/>
    <w:rsid w:val="00A50CE3"/>
    <w:rsid w:val="00A513F2"/>
    <w:rsid w:val="00A53721"/>
    <w:rsid w:val="00A56238"/>
    <w:rsid w:val="00A85BD5"/>
    <w:rsid w:val="00AA7D83"/>
    <w:rsid w:val="00AB36C8"/>
    <w:rsid w:val="00AC5EB0"/>
    <w:rsid w:val="00B06754"/>
    <w:rsid w:val="00B1089F"/>
    <w:rsid w:val="00B34A8E"/>
    <w:rsid w:val="00B54AE5"/>
    <w:rsid w:val="00B7688E"/>
    <w:rsid w:val="00B77A74"/>
    <w:rsid w:val="00B8208A"/>
    <w:rsid w:val="00B849FE"/>
    <w:rsid w:val="00BA5E09"/>
    <w:rsid w:val="00BC511A"/>
    <w:rsid w:val="00BD1A61"/>
    <w:rsid w:val="00BD4B9F"/>
    <w:rsid w:val="00C21F01"/>
    <w:rsid w:val="00C268D8"/>
    <w:rsid w:val="00C300A1"/>
    <w:rsid w:val="00C349F2"/>
    <w:rsid w:val="00C6214D"/>
    <w:rsid w:val="00C90478"/>
    <w:rsid w:val="00CA1AC9"/>
    <w:rsid w:val="00CA45E7"/>
    <w:rsid w:val="00CB30AE"/>
    <w:rsid w:val="00CB47A2"/>
    <w:rsid w:val="00CD7258"/>
    <w:rsid w:val="00CE4C7F"/>
    <w:rsid w:val="00D30FF0"/>
    <w:rsid w:val="00D5095B"/>
    <w:rsid w:val="00D81D38"/>
    <w:rsid w:val="00D85FA7"/>
    <w:rsid w:val="00DA32EC"/>
    <w:rsid w:val="00DA472B"/>
    <w:rsid w:val="00DB73D0"/>
    <w:rsid w:val="00DB7A51"/>
    <w:rsid w:val="00DD507D"/>
    <w:rsid w:val="00DF2F47"/>
    <w:rsid w:val="00DF442D"/>
    <w:rsid w:val="00E12951"/>
    <w:rsid w:val="00E12DEC"/>
    <w:rsid w:val="00E37680"/>
    <w:rsid w:val="00E43A0D"/>
    <w:rsid w:val="00E83449"/>
    <w:rsid w:val="00E96F9D"/>
    <w:rsid w:val="00EB41E5"/>
    <w:rsid w:val="00ED4C76"/>
    <w:rsid w:val="00ED63B6"/>
    <w:rsid w:val="00EE3282"/>
    <w:rsid w:val="00EF2D13"/>
    <w:rsid w:val="00F03370"/>
    <w:rsid w:val="00F20434"/>
    <w:rsid w:val="00F21816"/>
    <w:rsid w:val="00F2554B"/>
    <w:rsid w:val="00F33354"/>
    <w:rsid w:val="00F3490A"/>
    <w:rsid w:val="00F71AD0"/>
    <w:rsid w:val="00FA6330"/>
    <w:rsid w:val="00FF0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B216B"/>
  <w15:chartTrackingRefBased/>
  <w15:docId w15:val="{573270CF-74B9-C347-826C-50594147BEA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Didot" w:hAnsi="Didot"/>
      <w:sz w:val="22"/>
    </w:rPr>
  </w:style>
  <w:style w:type="paragraph" w:styleId="Heading1">
    <w:name w:val="heading 1"/>
    <w:basedOn w:val="Normal"/>
    <w:next w:val="Normal"/>
    <w:link w:val="Heading1Char"/>
    <w:uiPriority w:val="9"/>
    <w:qFormat/>
    <w:rsid w:val="00643EEF"/>
    <w:pPr>
      <w:keepNext/>
      <w:keepLines/>
      <w:spacing w:before="320" w:after="120"/>
      <w:outlineLvl w:val="0"/>
    </w:pPr>
    <w:rPr>
      <w:rFonts w:asciiTheme="majorHAnsi" w:eastAsiaTheme="majorEastAsia" w:hAnsiTheme="majorHAnsi" w:cstheme="majorBidi" w:ascii="Didot" w:hAnsi="Didot"/>
      <w:color w:val="0F4761"/>
      <w:sz w:val="40"/>
      <w:szCs w:val="40"/>
    </w:rPr>
  </w:style>
  <w:style w:type="paragraph" w:styleId="Heading2">
    <w:name w:val="heading 2"/>
    <w:basedOn w:val="Normal"/>
    <w:next w:val="Normal"/>
    <w:link w:val="Heading2Char"/>
    <w:uiPriority w:val="9"/>
    <w:unhideWhenUsed/>
    <w:qFormat/>
    <w:rsid w:val="00BD1A61"/>
    <w:pPr>
      <w:keepNext/>
      <w:keepLines/>
      <w:spacing w:before="240" w:after="100"/>
      <w:outlineLvl w:val="1"/>
    </w:pPr>
    <w:rPr>
      <w:rFonts w:eastAsia="Times New Roman" w:cstheme="majorBidi" w:ascii="Didot" w:hAnsi="Didot"/>
      <w:b/>
      <w:bCs/>
      <w:color w:val="000000"/>
      <w:sz w:val="32"/>
      <w:szCs w:val="32"/>
    </w:rPr>
  </w:style>
  <w:style w:type="paragraph" w:styleId="Heading3">
    <w:name w:val="heading 3"/>
    <w:basedOn w:val="Normal"/>
    <w:next w:val="Normal"/>
    <w:link w:val="Heading3Char"/>
    <w:uiPriority w:val="9"/>
    <w:unhideWhenUsed/>
    <w:qFormat/>
    <w:rsid w:val="00BD1A61"/>
    <w:pPr>
      <w:keepNext/>
      <w:keepLines/>
      <w:spacing w:before="180" w:after="80"/>
      <w:outlineLvl w:val="2"/>
    </w:pPr>
    <w:rPr>
      <w:rFonts w:eastAsiaTheme="majorEastAsia" w:cstheme="majorBidi" w:ascii="Didot" w:hAnsi="Didot"/>
      <w:i/>
      <w:iCs/>
      <w:color w:val="000000"/>
      <w:sz w:val="26"/>
      <w:szCs w:val="28"/>
    </w:rPr>
  </w:style>
  <w:style w:type="paragraph" w:styleId="Heading4">
    <w:name w:val="heading 4"/>
    <w:basedOn w:val="Normal"/>
    <w:next w:val="Normal"/>
    <w:link w:val="Heading4Char"/>
    <w:uiPriority w:val="9"/>
    <w:semiHidden/>
    <w:unhideWhenUsed/>
    <w:qFormat/>
    <w:rsid w:val="00643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A61"/>
    <w:rPr>
      <w:rFonts w:eastAsia="Times New Roman" w:cstheme="majorBidi"/>
      <w:b/>
      <w:bCs/>
      <w:color w:val="000000" w:themeColor="text1"/>
      <w:sz w:val="32"/>
      <w:szCs w:val="32"/>
    </w:rPr>
  </w:style>
  <w:style w:type="character" w:customStyle="1" w:styleId="Heading3Char">
    <w:name w:val="Heading 3 Char"/>
    <w:basedOn w:val="DefaultParagraphFont"/>
    <w:link w:val="Heading3"/>
    <w:uiPriority w:val="9"/>
    <w:rsid w:val="00BD1A61"/>
    <w:rPr>
      <w:rFonts w:eastAsiaTheme="majorEastAsia" w:cstheme="majorBidi"/>
      <w:i/>
      <w:iCs/>
      <w:color w:val="000000" w:themeColor="text1"/>
      <w:sz w:val="28"/>
      <w:szCs w:val="28"/>
    </w:rPr>
  </w:style>
  <w:style w:type="character" w:customStyle="1" w:styleId="Heading4Char">
    <w:name w:val="Heading 4 Char"/>
    <w:basedOn w:val="DefaultParagraphFont"/>
    <w:link w:val="Heading4"/>
    <w:uiPriority w:val="9"/>
    <w:semiHidden/>
    <w:rsid w:val="00643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EEF"/>
    <w:rPr>
      <w:rFonts w:eastAsiaTheme="majorEastAsia" w:cstheme="majorBidi"/>
      <w:color w:val="272727" w:themeColor="text1" w:themeTint="D8"/>
    </w:rPr>
  </w:style>
  <w:style w:type="paragraph" w:styleId="Title">
    <w:name w:val="Title"/>
    <w:basedOn w:val="Normal"/>
    <w:next w:val="Normal"/>
    <w:link w:val="TitleChar"/>
    <w:uiPriority w:val="10"/>
    <w:qFormat/>
    <w:rsid w:val="00643EEF"/>
    <w:pPr>
      <w:spacing w:after="160" w:line="240" w:lineRule="auto"/>
      <w:contextualSpacing/>
    </w:pPr>
    <w:rPr>
      <w:rFonts w:asciiTheme="majorHAnsi" w:eastAsiaTheme="majorEastAsia" w:hAnsiTheme="majorHAnsi" w:cstheme="majorBidi" w:ascii="Didot" w:hAnsi="Didot"/>
      <w:b/>
      <w:color w:val="0F4761"/>
      <w:spacing w:val="-10"/>
      <w:kern w:val="28"/>
      <w:sz w:val="60"/>
      <w:szCs w:val="56"/>
    </w:rPr>
  </w:style>
  <w:style w:type="character" w:customStyle="1" w:styleId="TitleChar">
    <w:name w:val="Title Char"/>
    <w:basedOn w:val="DefaultParagraphFont"/>
    <w:link w:val="Title"/>
    <w:uiPriority w:val="10"/>
    <w:rsid w:val="00643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EEF"/>
    <w:pPr>
      <w:numPr>
        <w:ilvl w:val="1"/>
      </w:numPr>
    </w:pPr>
    <w:rPr>
      <w:rFonts w:eastAsiaTheme="majorEastAsia" w:cstheme="majorBidi" w:ascii="Didot" w:hAnsi="Didot"/>
      <w:color w:val="595959"/>
      <w:spacing w:val="15"/>
      <w:sz w:val="30"/>
      <w:szCs w:val="28"/>
    </w:rPr>
  </w:style>
  <w:style w:type="character" w:customStyle="1" w:styleId="SubtitleChar">
    <w:name w:val="Subtitle Char"/>
    <w:basedOn w:val="DefaultParagraphFont"/>
    <w:link w:val="Subtitle"/>
    <w:uiPriority w:val="11"/>
    <w:rsid w:val="00643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EEF"/>
    <w:pPr>
      <w:spacing w:before="160"/>
      <w:jc w:val="center"/>
    </w:pPr>
    <w:rPr>
      <w:i/>
      <w:iCs/>
      <w:color w:val="404040" w:themeColor="text1" w:themeTint="BF"/>
    </w:rPr>
  </w:style>
  <w:style w:type="character" w:customStyle="1" w:styleId="QuoteChar">
    <w:name w:val="Quote Char"/>
    <w:basedOn w:val="DefaultParagraphFont"/>
    <w:link w:val="Quote"/>
    <w:uiPriority w:val="29"/>
    <w:rsid w:val="00643EEF"/>
    <w:rPr>
      <w:i/>
      <w:iCs/>
      <w:color w:val="404040" w:themeColor="text1" w:themeTint="BF"/>
    </w:rPr>
  </w:style>
  <w:style w:type="paragraph" w:styleId="ListParagraph">
    <w:name w:val="List Paragraph"/>
    <w:basedOn w:val="Normal"/>
    <w:uiPriority w:val="34"/>
    <w:qFormat/>
    <w:rsid w:val="00643EEF"/>
    <w:pPr>
      <w:ind w:left="720"/>
      <w:contextualSpacing/>
    </w:pPr>
  </w:style>
  <w:style w:type="character" w:styleId="IntenseEmphasis">
    <w:name w:val="Intense Emphasis"/>
    <w:basedOn w:val="DefaultParagraphFont"/>
    <w:uiPriority w:val="21"/>
    <w:qFormat/>
    <w:rsid w:val="00643EEF"/>
    <w:rPr>
      <w:i/>
      <w:iCs/>
      <w:color w:val="0F4761" w:themeColor="accent1" w:themeShade="BF"/>
    </w:rPr>
  </w:style>
  <w:style w:type="paragraph" w:styleId="IntenseQuote">
    <w:name w:val="Intense Quote"/>
    <w:basedOn w:val="Normal"/>
    <w:next w:val="Normal"/>
    <w:link w:val="IntenseQuoteChar"/>
    <w:uiPriority w:val="30"/>
    <w:qFormat/>
    <w:rsid w:val="00643EEF"/>
    <w:pPr>
      <w:pBdr>
        <w:top w:val="single" w:sz="4" w:space="10" w:color="0F4761" w:themeColor="accent1" w:themeShade="BF"/>
        <w:bottom w:val="single" w:sz="4" w:space="10" w:color="0F4761" w:themeColor="accent1" w:themeShade="BF"/>
      </w:pBdr>
      <w:spacing w:before="200" w:after="200"/>
      <w:ind w:left="504" w:right="504"/>
      <w:jc w:val="center"/>
    </w:pPr>
    <w:rPr>
      <w:rFonts w:ascii="Didot" w:hAnsi="Didot"/>
      <w:i/>
      <w:iCs/>
      <w:color w:val="0F4761"/>
      <w:sz w:val="24"/>
    </w:rPr>
  </w:style>
  <w:style w:type="character" w:customStyle="1" w:styleId="IntenseQuoteChar">
    <w:name w:val="Intense Quote Char"/>
    <w:basedOn w:val="DefaultParagraphFont"/>
    <w:link w:val="IntenseQuote"/>
    <w:uiPriority w:val="30"/>
    <w:rsid w:val="00643EEF"/>
    <w:rPr>
      <w:i/>
      <w:iCs/>
      <w:color w:val="0F4761" w:themeColor="accent1" w:themeShade="BF"/>
    </w:rPr>
  </w:style>
  <w:style w:type="character" w:styleId="IntenseReference">
    <w:name w:val="Intense Reference"/>
    <w:basedOn w:val="DefaultParagraphFont"/>
    <w:uiPriority w:val="32"/>
    <w:qFormat/>
    <w:rsid w:val="00643EEF"/>
    <w:rPr>
      <w:b/>
      <w:bCs/>
      <w:smallCaps/>
      <w:color w:val="0F4761" w:themeColor="accent1" w:themeShade="BF"/>
      <w:spacing w:val="5"/>
    </w:rPr>
  </w:style>
  <w:style w:type="paragraph" w:customStyle="1" w:styleId="font-claude-response-body">
    <w:name w:val="font-claude-response-body"/>
    <w:basedOn w:val="Normal"/>
    <w:rsid w:val="00643E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3EEF"/>
    <w:rPr>
      <w:i/>
      <w:iCs/>
    </w:rPr>
  </w:style>
  <w:style w:type="character" w:styleId="Strong">
    <w:name w:val="Strong"/>
    <w:basedOn w:val="DefaultParagraphFont"/>
    <w:uiPriority w:val="22"/>
    <w:qFormat/>
    <w:rsid w:val="001D5025"/>
    <w:rPr>
      <w:b/>
      <w:bCs/>
    </w:rPr>
  </w:style>
  <w:style w:type="paragraph" w:styleId="TOC1">
    <w:name w:val="toc 1"/>
    <w:basedOn w:val="Normal"/>
    <w:next w:val="Normal"/>
    <w:autoRedefine/>
    <w:uiPriority w:val="39"/>
    <w:unhideWhenUsed/>
    <w:rsid w:val="00180225"/>
    <w:pPr>
      <w:spacing w:before="120" w:after="0"/>
    </w:pPr>
    <w:rPr>
      <w:b/>
      <w:bCs/>
      <w:i/>
      <w:iCs/>
    </w:rPr>
  </w:style>
  <w:style w:type="paragraph" w:styleId="TOC2">
    <w:name w:val="toc 2"/>
    <w:basedOn w:val="Normal"/>
    <w:next w:val="Normal"/>
    <w:autoRedefine/>
    <w:uiPriority w:val="39"/>
    <w:unhideWhenUsed/>
    <w:rsid w:val="00180225"/>
    <w:pPr>
      <w:spacing w:before="120" w:after="0"/>
      <w:ind w:left="240"/>
    </w:pPr>
    <w:rPr>
      <w:b/>
      <w:bCs/>
      <w:sz w:val="22"/>
      <w:szCs w:val="22"/>
    </w:rPr>
  </w:style>
  <w:style w:type="paragraph" w:styleId="TOC3">
    <w:name w:val="toc 3"/>
    <w:basedOn w:val="Normal"/>
    <w:next w:val="Normal"/>
    <w:autoRedefine/>
    <w:uiPriority w:val="39"/>
    <w:unhideWhenUsed/>
    <w:rsid w:val="00180225"/>
    <w:pPr>
      <w:spacing w:after="0"/>
      <w:ind w:left="480"/>
    </w:pPr>
    <w:rPr>
      <w:sz w:val="20"/>
      <w:szCs w:val="20"/>
    </w:rPr>
  </w:style>
  <w:style w:type="paragraph" w:styleId="TOC4">
    <w:name w:val="toc 4"/>
    <w:basedOn w:val="Normal"/>
    <w:next w:val="Normal"/>
    <w:autoRedefine/>
    <w:uiPriority w:val="39"/>
    <w:unhideWhenUsed/>
    <w:rsid w:val="00180225"/>
    <w:pPr>
      <w:spacing w:after="0"/>
      <w:ind w:left="720"/>
    </w:pPr>
    <w:rPr>
      <w:sz w:val="20"/>
      <w:szCs w:val="20"/>
    </w:rPr>
  </w:style>
  <w:style w:type="paragraph" w:styleId="TOC5">
    <w:name w:val="toc 5"/>
    <w:basedOn w:val="Normal"/>
    <w:next w:val="Normal"/>
    <w:autoRedefine/>
    <w:uiPriority w:val="39"/>
    <w:unhideWhenUsed/>
    <w:rsid w:val="00180225"/>
    <w:pPr>
      <w:spacing w:after="0"/>
      <w:ind w:left="960"/>
    </w:pPr>
    <w:rPr>
      <w:sz w:val="20"/>
      <w:szCs w:val="20"/>
    </w:rPr>
  </w:style>
  <w:style w:type="paragraph" w:styleId="TOC6">
    <w:name w:val="toc 6"/>
    <w:basedOn w:val="Normal"/>
    <w:next w:val="Normal"/>
    <w:autoRedefine/>
    <w:uiPriority w:val="39"/>
    <w:unhideWhenUsed/>
    <w:rsid w:val="00180225"/>
    <w:pPr>
      <w:spacing w:after="0"/>
      <w:ind w:left="1200"/>
    </w:pPr>
    <w:rPr>
      <w:sz w:val="20"/>
      <w:szCs w:val="20"/>
    </w:rPr>
  </w:style>
  <w:style w:type="paragraph" w:styleId="TOC7">
    <w:name w:val="toc 7"/>
    <w:basedOn w:val="Normal"/>
    <w:next w:val="Normal"/>
    <w:autoRedefine/>
    <w:uiPriority w:val="39"/>
    <w:unhideWhenUsed/>
    <w:rsid w:val="00180225"/>
    <w:pPr>
      <w:spacing w:after="0"/>
      <w:ind w:left="1440"/>
    </w:pPr>
    <w:rPr>
      <w:sz w:val="20"/>
      <w:szCs w:val="20"/>
    </w:rPr>
  </w:style>
  <w:style w:type="paragraph" w:styleId="TOC8">
    <w:name w:val="toc 8"/>
    <w:basedOn w:val="Normal"/>
    <w:next w:val="Normal"/>
    <w:autoRedefine/>
    <w:uiPriority w:val="39"/>
    <w:unhideWhenUsed/>
    <w:rsid w:val="00180225"/>
    <w:pPr>
      <w:spacing w:after="0"/>
      <w:ind w:left="1680"/>
    </w:pPr>
    <w:rPr>
      <w:sz w:val="20"/>
      <w:szCs w:val="20"/>
    </w:rPr>
  </w:style>
  <w:style w:type="paragraph" w:styleId="TOC9">
    <w:name w:val="toc 9"/>
    <w:basedOn w:val="Normal"/>
    <w:next w:val="Normal"/>
    <w:autoRedefine/>
    <w:uiPriority w:val="39"/>
    <w:unhideWhenUsed/>
    <w:rsid w:val="00180225"/>
    <w:pPr>
      <w:spacing w:after="0"/>
      <w:ind w:left="1920"/>
    </w:pPr>
    <w:rPr>
      <w:sz w:val="20"/>
      <w:szCs w:val="20"/>
    </w:rPr>
  </w:style>
  <w:style w:type="character" w:styleId="Hyperlink">
    <w:name w:val="Hyperlink"/>
    <w:basedOn w:val="DefaultParagraphFont"/>
    <w:uiPriority w:val="99"/>
    <w:unhideWhenUsed/>
    <w:rsid w:val="00180225"/>
    <w:rPr>
      <w:color w:val="467886" w:themeColor="hyperlink"/>
      <w:u w:val="single"/>
    </w:rPr>
  </w:style>
  <w:style w:type="paragraph" w:styleId="FootnoteText">
    <w:name w:val="footnote text"/>
    <w:basedOn w:val="Normal"/>
    <w:link w:val="FootnoteTextChar"/>
    <w:uiPriority w:val="99"/>
    <w:semiHidden/>
    <w:unhideWhenUsed/>
    <w:rsid w:val="00262E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2EC7"/>
    <w:rPr>
      <w:sz w:val="20"/>
      <w:szCs w:val="20"/>
    </w:rPr>
  </w:style>
  <w:style w:type="character" w:styleId="FootnoteReference">
    <w:name w:val="footnote reference"/>
    <w:basedOn w:val="DefaultParagraphFont"/>
    <w:uiPriority w:val="99"/>
    <w:semiHidden/>
    <w:unhideWhenUsed/>
    <w:rsid w:val="00262EC7"/>
    <w:rPr>
      <w:vertAlign w:val="superscript"/>
    </w:rPr>
  </w:style>
  <w:style w:type="character" w:styleId="SubtleReference">
    <w:name w:val="Subtle Reference"/>
    <w:basedOn w:val="DefaultParagraphFont"/>
    <w:uiPriority w:val="31"/>
    <w:qFormat/>
    <w:rsid w:val="00BD1A61"/>
    <w:rPr>
      <w:smallCaps/>
      <w:color w:val="5A5A5A" w:themeColor="text1" w:themeTint="A5"/>
    </w:rPr>
  </w:style>
  <w:style w:type="paragraph" w:styleId="Header">
    <w:name w:val="header"/>
    <w:basedOn w:val="Normal"/>
    <w:link w:val="HeaderChar"/>
    <w:uiPriority w:val="99"/>
    <w:unhideWhenUsed/>
    <w:rsid w:val="00BD4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B9F"/>
  </w:style>
  <w:style w:type="paragraph" w:styleId="Footer">
    <w:name w:val="footer"/>
    <w:basedOn w:val="Normal"/>
    <w:link w:val="FooterChar"/>
    <w:uiPriority w:val="99"/>
    <w:unhideWhenUsed/>
    <w:rsid w:val="00BD4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B9F"/>
  </w:style>
  <w:style w:type="character" w:styleId="PageNumber">
    <w:name w:val="page number"/>
    <w:basedOn w:val="DefaultParagraphFont"/>
    <w:uiPriority w:val="99"/>
    <w:semiHidden/>
    <w:unhideWhenUsed/>
    <w:rsid w:val="00BD4B9F"/>
  </w:style>
  <w:style w:type="character" w:styleId="UnresolvedMention">
    <w:name w:val="Unresolved Mention"/>
    <w:basedOn w:val="DefaultParagraphFont"/>
    <w:uiPriority w:val="99"/>
    <w:semiHidden/>
    <w:unhideWhenUsed/>
    <w:rsid w:val="00A513F2"/>
    <w:rPr>
      <w:color w:val="605E5C"/>
      <w:shd w:val="clear" w:color="auto" w:fill="E1DFDD"/>
    </w:rPr>
  </w:style>
  <w:style w:type="character" w:styleId="CommentReference">
    <w:name w:val="annotation reference"/>
    <w:basedOn w:val="DefaultParagraphFont"/>
    <w:uiPriority w:val="99"/>
    <w:semiHidden/>
    <w:unhideWhenUsed/>
    <w:rsid w:val="007F3E2C"/>
    <w:rPr>
      <w:sz w:val="16"/>
      <w:szCs w:val="16"/>
    </w:rPr>
  </w:style>
  <w:style w:type="paragraph" w:styleId="CommentText">
    <w:name w:val="annotation text"/>
    <w:basedOn w:val="Normal"/>
    <w:link w:val="CommentTextChar"/>
    <w:uiPriority w:val="99"/>
    <w:semiHidden/>
    <w:unhideWhenUsed/>
    <w:rsid w:val="007F3E2C"/>
    <w:pPr>
      <w:spacing w:line="240" w:lineRule="auto"/>
    </w:pPr>
    <w:rPr>
      <w:sz w:val="20"/>
      <w:szCs w:val="20"/>
    </w:rPr>
  </w:style>
  <w:style w:type="character" w:customStyle="1" w:styleId="CommentTextChar">
    <w:name w:val="Comment Text Char"/>
    <w:basedOn w:val="DefaultParagraphFont"/>
    <w:link w:val="CommentText"/>
    <w:uiPriority w:val="99"/>
    <w:semiHidden/>
    <w:rsid w:val="007F3E2C"/>
    <w:rPr>
      <w:sz w:val="20"/>
      <w:szCs w:val="20"/>
    </w:rPr>
  </w:style>
  <w:style w:type="paragraph" w:styleId="CommentSubject">
    <w:name w:val="annotation subject"/>
    <w:basedOn w:val="CommentText"/>
    <w:next w:val="CommentText"/>
    <w:link w:val="CommentSubjectChar"/>
    <w:uiPriority w:val="99"/>
    <w:semiHidden/>
    <w:unhideWhenUsed/>
    <w:rsid w:val="007F3E2C"/>
    <w:rPr>
      <w:b/>
      <w:bCs/>
    </w:rPr>
  </w:style>
  <w:style w:type="character" w:customStyle="1" w:styleId="CommentSubjectChar">
    <w:name w:val="Comment Subject Char"/>
    <w:basedOn w:val="CommentTextChar"/>
    <w:link w:val="CommentSubject"/>
    <w:uiPriority w:val="99"/>
    <w:semiHidden/>
    <w:rsid w:val="007F3E2C"/>
    <w:rPr>
      <w:b/>
      <w:bCs/>
      <w:sz w:val="20"/>
      <w:szCs w:val="20"/>
    </w:rPr>
  </w:style>
  <w:style w:type="character" w:customStyle="1" w:styleId="reference-text">
    <w:name w:val="reference-text"/>
    <w:basedOn w:val="DefaultParagraphFont"/>
    <w:rsid w:val="009E237E"/>
  </w:style>
  <w:style w:type="character" w:styleId="FollowedHyperlink">
    <w:name w:val="FollowedHyperlink"/>
    <w:basedOn w:val="DefaultParagraphFont"/>
    <w:uiPriority w:val="99"/>
    <w:semiHidden/>
    <w:unhideWhenUsed/>
    <w:rsid w:val="009E237E"/>
    <w:rPr>
      <w:color w:val="96607D" w:themeColor="followedHyperlink"/>
      <w:u w:val="single"/>
    </w:rPr>
  </w:style>
  <w:style w:type="paragraph" w:styleId="Revision">
    <w:name w:val="Revision"/>
    <w:hidden/>
    <w:uiPriority w:val="99"/>
    <w:semiHidden/>
    <w:rsid w:val="003060DF"/>
    <w:pPr>
      <w:spacing w:after="0" w:line="240" w:lineRule="auto"/>
    </w:pPr>
  </w:style>
  <w:style w:type="paragraph" w:styleId="NormalWeb">
    <w:name w:val="Normal (Web)"/>
    <w:basedOn w:val="Normal"/>
    <w:uiPriority w:val="99"/>
    <w:unhideWhenUsed/>
    <w:rsid w:val="00A163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phil/Library/Containers/com.microsoft.Word/Data/Library/Preferences/AutoRecovery/galinsky2028.us/contac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file:///Users/phil/Library/Containers/com.microsoft.Word/Data/Library/Preferences/AutoRecovery/galinsky2028.us/issu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hyperlink" Target="https://www.dol.gov/sites/dolgov/files/ETA/tradeact/pdfs/petition.pdf" TargetMode="External"/><Relationship Id="rId17" Type="http://schemas.openxmlformats.org/officeDocument/2006/relationships/hyperlink" Target="https://uscode.house.gov/view.xhtml?req=(title:19%20section:2272%20edition:prelim)" TargetMode="External"/><Relationship Id="rId18" Type="http://schemas.openxmlformats.org/officeDocument/2006/relationships/hyperlink" Target="https://www.govinfo.gov/app/details/USREPORTS-317/USREPORTS-317-341" TargetMode="External"/><Relationship Id="rId19" Type="http://schemas.openxmlformats.org/officeDocument/2006/relationships/hyperlink" Target="https://www.ftc.gov/system/files/attachments/competition-policy-guidance/active_supervision_of_state_boards.pdf" TargetMode="External"/><Relationship Id="rId20" Type="http://schemas.openxmlformats.org/officeDocument/2006/relationships/hyperlink" Target="https://www.supremecourt.gov/docketfiles/13-534.htm" TargetMode="External"/><Relationship Id="rId21" Type="http://schemas.openxmlformats.org/officeDocument/2006/relationships/hyperlink" Target="https://www.govinfo.gov/app/details/USREPORTS-334/USREPORTS-334-385" TargetMode="External"/><Relationship Id="rId22" Type="http://schemas.openxmlformats.org/officeDocument/2006/relationships/hyperlink" Target="https://www.supremecourt.gov/opinions/18pdf/18-96_5i36.pdf" TargetMode="External"/><Relationship Id="rId23" Type="http://schemas.openxmlformats.org/officeDocument/2006/relationships/hyperlink" Target="https://www.govinfo.gov/app/details/USREPORTS-472/USREPORTS-472-159" TargetMode="External"/><Relationship Id="rId2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44</Pages>
  <Words>14015</Words>
  <Characters>71901</Characters>
  <Application>Microsoft Office Word</Application>
  <DocSecurity>0</DocSecurity>
  <Lines>1198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Galinsky</dc:creator>
  <cp:keywords/>
  <dc:description/>
  <cp:lastModifiedBy>Phillip Galinsky</cp:lastModifiedBy>
  <cp:revision>3</cp:revision>
  <cp:lastPrinted>2026-06-28T15:09:00Z</cp:lastPrinted>
  <dcterms:created xsi:type="dcterms:W3CDTF">2026-07-10T00:36:00Z</dcterms:created>
  <dcterms:modified xsi:type="dcterms:W3CDTF">2026-08-28T20:35:00Z</dcterms:modified>
</cp:coreProperties>
</file>