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
    <w:p/>
    <w:p/>
    <w:p>
      <w:pPr>
        <w:pStyle w:val="Subtitle"/>
        <w:spacing w:after="360"/>
        <w:jc w:val="center"/>
      </w:pPr>
      <w:r>
        <w:rPr>
          <w:b/>
          <w:color w:val="C23B32"/>
        </w:rPr>
        <w:t>PHILLIP GALINSKY FOR AMERICA 2028</w:t>
      </w:r>
    </w:p>
    <w:p>
      <w:pPr>
        <w:pStyle w:val="Title"/>
        <w:jc w:val="center"/>
      </w:pPr>
      <w:r>
        <w:t>THE CORNERSTONE</w:t>
      </w:r>
    </w:p>
    <w:p>
      <w:pPr>
        <w:pStyle w:val="Subtitle"/>
        <w:spacing w:after="360"/>
        <w:jc w:val="center"/>
      </w:pPr>
      <w:r>
        <w:t>Design Commentary, Alternatives, and Reasons for the Recommended Structure</w:t>
      </w:r>
    </w:p>
    <w:p>
      <w:pPr>
        <w:spacing w:after="360"/>
        <w:jc w:val="center"/>
      </w:pPr>
      <w:r>
        <w:rPr>
          <w:b/>
          <w:color w:val="0F4761"/>
        </w:rPr>
        <w:t>Companion Commentary</w:t>
      </w:r>
      <w:r>
        <w:br/>
        <w:t>September 2026</w:t>
      </w:r>
    </w:p>
    <w:p>
      <w:pPr>
        <w:jc w:val="center"/>
      </w:pPr>
      <w:r>
        <w:rPr>
          <w:b/>
          <w:color w:val="C23B32"/>
          <w:sz w:val="20"/>
        </w:rPr>
        <w:t>LIBERTY  •  JUSTICE  •  ABUNDANCE  •  FRONTIER</w:t>
      </w:r>
      <w:r/>
    </w:p>
    <w:p>
      <w:pPr>
        <w:pStyle w:val="Heading1"/>
      </w:pPr>
      <w:r>
        <w:t>Purpose of This Commentary</w:t>
      </w:r>
    </w:p>
    <w:p>
      <w:pPr/>
      <w:r>
        <w:t>The policy paper presents The Cornerstone as a finished proposal. This companion document exposes the architecture behind it. For each major design choice, it explains the problem the choice solves, the principal alternatives that could also be defensible, and why the recommended design was selected.</w:t>
      </w:r>
    </w:p>
    <w:p>
      <w:pPr/>
      <w:r>
        <w:t>The central challenge was not identifying the moral principle. That principle was already clear: when government announces an intention to harm or eliminate a lawful industry, carries out that intention, and directly destroys identifiable people's livelihoods, it owes a debt to each person it deliberately injured. The difficult question was institutional. A state can restore a regional commercial liberty only to an entity capable of holding a compact, raising capital, and operating a regulated enterprise. But the debt is owed to individuals, not to a county, an industry in the abstract, or a new bureaucracy. The design therefore had to build an institution without allowing the institution to swallow the people it exists to serve.</w:t>
      </w:r>
    </w:p>
    <w:p>
      <w:pPr>
        <w:pStyle w:val="Heading1"/>
      </w:pPr>
      <w:r>
        <w:t>1. The Remedy Is a New Economic Foundation, Not a Damages Award</w:t>
      </w:r>
    </w:p>
    <w:p>
      <w:pPr>
        <w:pStyle w:val="Heading2"/>
      </w:pPr>
      <w:r>
        <w:t>Decision</w:t>
      </w:r>
    </w:p>
    <w:p>
      <w:pPr/>
      <w:r>
        <w:t>The policy does not calculate lost wages or place a dollar value on the injury. It restores a durable commercial opportunity that the injured people own and govern.</w:t>
      </w:r>
    </w:p>
    <w:p>
      <w:pPr>
        <w:pStyle w:val="Heading2"/>
      </w:pPr>
      <w:r>
        <w:t>Alternatives</w:t>
      </w:r>
    </w:p>
    <w:p>
      <w:pPr/>
      <w:r>
        <w:t>The most conventional alternative would be individualized cash compensation based on lost earnings, benefits, pension value, relocation costs, and consequential losses. A second alternative would be a standardized payment per displaced worker. A third would combine cash with ordinary retraining and wage insurance.</w:t>
      </w:r>
    </w:p>
    <w:p>
      <w:pPr/>
      <w:r>
        <w:t>Each alternative has genuine strengths. Cash is flexible, understandable, and capable of addressing immediate hardship. Individual valuation can respond to differences among workers. Wage insurance can ease the move into lower-paid work.</w:t>
      </w:r>
    </w:p>
    <w:p>
      <w:pPr>
        <w:pStyle w:val="Heading2"/>
      </w:pPr>
      <w:r>
        <w:t>Reason for the decision</w:t>
      </w:r>
    </w:p>
    <w:p>
      <w:pPr/>
      <w:r>
        <w:t>Those alternatives treat the injury primarily as missing income. The policy's premise is different: government deliberately destroyed an economic position and a future. A one-time payment cannot replace the capacity to work, build, govern, and pass on wealth. It is also politically vulnerable to endless argument over valuation and can become a transfer financed by people who did not commit the wrong.</w:t>
      </w:r>
    </w:p>
    <w:p>
      <w:pPr/>
      <w:r>
        <w:t>Restoring a prohibited liberty fits the nature of the injury and the governing design of The Garden. It repairs the loss with a productive right already held by government, creates an economic engine instead of a temporary balance, and can be structured without displacing anyone presently participating in a lawful market.</w:t>
      </w:r>
    </w:p>
    <w:p>
      <w:pPr>
        <w:pStyle w:val="Heading1"/>
      </w:pPr>
      <w:r>
        <w:t>2. The Trigger Requires Intent, Not Merely Foreseeable Harm</w:t>
      </w:r>
    </w:p>
    <w:p>
      <w:pPr>
        <w:pStyle w:val="Heading2"/>
      </w:pPr>
      <w:r>
        <w:t>Decision</w:t>
      </w:r>
    </w:p>
    <w:p>
      <w:pPr/>
      <w:r>
        <w:t>A policy qualifies only when destruction or material contraction of the lawful industry was an express governmental objective or when substantial injury to that industry was deliberately selected as a means of accomplishing another objective. Knowledge that some jobs might be lost is not enough.</w:t>
      </w:r>
    </w:p>
    <w:p>
      <w:pPr>
        <w:pStyle w:val="Heading2"/>
      </w:pPr>
      <w:r>
        <w:t>Alternatives</w:t>
      </w:r>
    </w:p>
    <w:p>
      <w:pPr/>
      <w:r>
        <w:t>One alternative would cover any regulation that foreseeably causes substantial job loss. Another would require proof of personal malice toward the workers. A third would allow Congress or a president to designate qualifying industries without legal criteria.</w:t>
      </w:r>
    </w:p>
    <w:p>
      <w:pPr>
        <w:pStyle w:val="Heading2"/>
      </w:pPr>
      <w:r>
        <w:t>Reason for the decision</w:t>
      </w:r>
    </w:p>
    <w:p>
      <w:pPr/>
      <w:r>
        <w:t>A foreseeability test would make nearly every significant regulation a possible Cornerstone event. Governments cannot avoid all concentrated effects, and normal policy changes should not create perpetual restitution systems. At the other extreme, personal malice would be almost impossible to prove and would miss the intended case: policymakers may sincerely believe an industry should be ended while knowingly using its destruction as their instrument.</w:t>
      </w:r>
    </w:p>
    <w:p>
      <w:pPr/>
      <w:r>
        <w:t>The adopted test is narrow enough to preserve ordinary government but strong enough to reach explicit industrial campaigns. It focuses on the official record, not assumptions about private motives. It also makes certification reviewable because courts and administrators can examine texts, plans, findings, and attributable official statements.</w:t>
      </w:r>
    </w:p>
    <w:p>
      <w:pPr>
        <w:pStyle w:val="Heading1"/>
      </w:pPr>
      <w:r>
        <w:t>3. Certification Uses the Department of Labor and a Petition Record</w:t>
      </w:r>
    </w:p>
    <w:p>
      <w:pPr>
        <w:pStyle w:val="Heading2"/>
      </w:pPr>
      <w:r>
        <w:t>Decision</w:t>
      </w:r>
    </w:p>
    <w:p>
      <w:pPr/>
      <w:r>
        <w:t>The Department of Labor certifies qualifying events through a public petition, investigation, evidentiary record, written findings, and judicial review. Workers, unions, employers, governors, and state workforce agencies may petition.</w:t>
      </w:r>
    </w:p>
    <w:p>
      <w:pPr>
        <w:pStyle w:val="Heading2"/>
      </w:pPr>
      <w:r>
        <w:t>Alternatives</w:t>
      </w:r>
    </w:p>
    <w:p>
      <w:pPr/>
      <w:r>
        <w:t>Congress could enumerate qualifying events directly. Federal courts could decide eligibility through individual lawsuits. A new independent commission could investigate historical cases. States could certify their own workers. The executive branch could designate events by proclamation.</w:t>
      </w:r>
    </w:p>
    <w:p>
      <w:pPr>
        <w:pStyle w:val="Heading2"/>
      </w:pPr>
      <w:r>
        <w:t>Reason for the decision</w:t>
      </w:r>
    </w:p>
    <w:p>
      <w:pPr/>
      <w:r>
        <w:t>Congressional enumeration would be slow and overtly political. Individual litigation would duplicate evidence thousands of times and favor workers able to retain counsel. State-only certification would produce conflicting standards and would not work well when federal action caused the injury. A new commission would add a bureaucracy where an existing institution already has relevant capacity.</w:t>
      </w:r>
    </w:p>
    <w:p>
      <w:pPr/>
      <w:r>
        <w:t>The Department of Labor has administered group-certification systems for displaced workers under Trade Adjustment Assistance. The Cornerstone can adapt that known petition model while imposing its own stricter intent and causation tests. One group record establishes the event; individual workers then prove membership in the covered class. Judicial review controls error without making litigation the doorway to the program.</w:t>
      </w:r>
      <w:r>
        <w:t xml:space="preserve"> A material-effect research screen can identify actions worth investigating even when group and individual evidence is incomplete. Inclusion in that census is not a Labor certification or a finding that any worker meets the narrower statutory requirements.</w:t>
      </w:r>
    </w:p>
    <w:p>
      <w:pPr>
        <w:pStyle w:val="Heading1"/>
      </w:pPr>
      <w:r>
        <w:t>4. The Policy Has No Arbitrary Historical Cutoff</w:t>
      </w:r>
    </w:p>
    <w:p>
      <w:pPr>
        <w:pStyle w:val="Heading2"/>
      </w:pPr>
      <w:r>
        <w:t>Decision</w:t>
      </w:r>
    </w:p>
    <w:p>
      <w:pPr/>
      <w:r>
        <w:t>A past governmental action may be certified whenever reliable evidence establishes the wrong. The enrollment deadline begins after certification rather than on the date of the original job loss.</w:t>
      </w:r>
    </w:p>
    <w:p>
      <w:pPr>
        <w:pStyle w:val="Heading2"/>
      </w:pPr>
      <w:r>
        <w:t>Alternatives</w:t>
      </w:r>
    </w:p>
    <w:p>
      <w:pPr/>
      <w:r>
        <w:t>A statute could cover only future actions, actions taken after a fixed date, or actions within a conventional limitations period such as six or ten years. It could also enumerate a closed list of historical events.</w:t>
      </w:r>
    </w:p>
    <w:p>
      <w:pPr>
        <w:pStyle w:val="Heading2"/>
      </w:pPr>
      <w:r>
        <w:t>Reason for the decision</w:t>
      </w:r>
    </w:p>
    <w:p>
      <w:pPr/>
      <w:r>
        <w:t>A prospective-only policy would discipline future administrations but fail the workers who gave rise to the proposal, including miners and others already displaced by deliberate campaigns. A fixed retroactive date would be administratively simple but morally arbitrary: a debt does not cease to be a debt because an anniversary passes.</w:t>
      </w:r>
    </w:p>
    <w:p>
      <w:pPr/>
      <w:r>
        <w:t>The evidence requirement supplies a principled limit. Older events will be harder to prove, and individual employment records may no longer exist. That is a consequence of proof, not a declaration that a documented wrong has become just. Starting the claims period at certification also prevents the government from defeating claims before workers could have known that a remedy existed.</w:t>
      </w:r>
    </w:p>
    <w:p>
      <w:pPr>
        <w:pStyle w:val="Heading1"/>
      </w:pPr>
      <w:r>
        <w:t>5. Eligibility Is Direct and Individual</w:t>
      </w:r>
    </w:p>
    <w:p>
      <w:pPr>
        <w:pStyle w:val="Heading2"/>
      </w:pPr>
      <w:r>
        <w:t>Decision</w:t>
      </w:r>
    </w:p>
    <w:p>
      <w:pPr/>
      <w:r>
        <w:t>Eligibility covers employees, independent workers, and owner-operators who derived a principal livelihood from the certified work and directly lost it during the causal period. General regional decline and indirect loss of customers do not qualify.</w:t>
      </w:r>
      <w:r>
        <w:t xml:space="preserve"> Losing the primary job may be material despite a retained part-time job; a person need not lose every income source.</w:t>
      </w:r>
    </w:p>
    <w:p>
      <w:pPr>
        <w:pStyle w:val="Heading2"/>
      </w:pPr>
      <w:r>
        <w:t>Alternatives</w:t>
      </w:r>
    </w:p>
    <w:p>
      <w:pPr/>
      <w:r>
        <w:t>The class could include every resident of a harmed community, all downstream suppliers, local landlords, municipal governments, or anyone whose income declined after an industrial closure. It could instead cover only formal payroll employees.</w:t>
      </w:r>
    </w:p>
    <w:p>
      <w:pPr>
        <w:pStyle w:val="Heading2"/>
      </w:pPr>
      <w:r>
        <w:t>Reason for the decision</w:t>
      </w:r>
    </w:p>
    <w:p>
      <w:pPr/>
      <w:r>
        <w:t>The broad alternative would turn an individualized justice policy into a regional development program and make causation nearly limitless. The narrow payroll-only alternative would arbitrarily exclude owner-operators, independent contractors, and small suppliers whose work was functionally identical to that of employees.</w:t>
      </w:r>
    </w:p>
    <w:p>
      <w:pPr/>
      <w:r>
        <w:t>The principal-livelihood test is the middle course. It reaches people whose economic lives were actually built on the targeted industry while excluding diffuse secondary effects. The policy uses a majority-of-earned-income or 1,000-hour benchmark because either financial dependence or substantial labor commitment can establish that relationship.</w:t>
      </w:r>
    </w:p>
    <w:p>
      <w:pPr>
        <w:pStyle w:val="Heading1"/>
      </w:pPr>
      <w:r>
        <w:t>6. Later Success Does Not Cancel the Debt</w:t>
      </w:r>
    </w:p>
    <w:p>
      <w:pPr>
        <w:pStyle w:val="Heading2"/>
      </w:pPr>
      <w:r>
        <w:t>Decision</w:t>
      </w:r>
    </w:p>
    <w:p>
      <w:pPr/>
      <w:r>
        <w:t>A worker remains eligible after finding a new job, moving, drawing a pension, or receiving ordinary transition benefits.</w:t>
      </w:r>
    </w:p>
    <w:p>
      <w:pPr>
        <w:pStyle w:val="Heading2"/>
      </w:pPr>
      <w:r>
        <w:t>Alternatives</w:t>
      </w:r>
    </w:p>
    <w:p>
      <w:pPr/>
      <w:r>
        <w:t>Eligibility could be needs-tested, limited to the currently unemployed, or reduced when later income exceeds former earnings.</w:t>
      </w:r>
    </w:p>
    <w:p>
      <w:pPr>
        <w:pStyle w:val="Heading2"/>
      </w:pPr>
      <w:r>
        <w:t>Reason for the decision</w:t>
      </w:r>
    </w:p>
    <w:p>
      <w:pPr/>
      <w:r>
        <w:t>Needs testing would convert justice into welfare. A worker who rebuilt a life through extraordinary effort was still deliberately injured; personal resilience does not retroactively excuse the state. Ordinary unemployment, pensions, and severance answer different obligations. The Cornerstone recognizes the wrongful destruction of the position itself.</w:t>
      </w:r>
    </w:p>
    <w:p>
      <w:pPr/>
      <w:r>
        <w:t>This decision also avoids measuring the remedy in dollars. Every directly injured worker receives the same foundational legal rights, while the economic result depends on what the members build with them.</w:t>
      </w:r>
    </w:p>
    <w:p>
      <w:pPr>
        <w:pStyle w:val="Heading1"/>
      </w:pPr>
      <w:r>
        <w:t>7. The Recipient Is a Worker-Owned Cornerstone Association</w:t>
      </w:r>
    </w:p>
    <w:p>
      <w:pPr>
        <w:pStyle w:val="Heading2"/>
      </w:pPr>
      <w:r>
        <w:t>Decision</w:t>
      </w:r>
    </w:p>
    <w:p>
      <w:pPr/>
      <w:r>
        <w:t>Eligible workers form voluntary, member-governed mutual-benefit corporations that receive and operate the compacts.</w:t>
      </w:r>
    </w:p>
    <w:p>
      <w:pPr>
        <w:pStyle w:val="Heading2"/>
      </w:pPr>
      <w:r>
        <w:t>Alternatives</w:t>
      </w:r>
    </w:p>
    <w:p>
      <w:pPr/>
      <w:r>
        <w:t>The state could issue a separate license or micro-franchise to each worker. A county development authority could hold the monopoly. An existing union could administer it. A private company could receive the right in exchange for hiring quotas. The federal government could create one national holding company for all displaced workers.</w:t>
      </w:r>
    </w:p>
    <w:p>
      <w:pPr>
        <w:pStyle w:val="Heading2"/>
      </w:pPr>
      <w:r>
        <w:t>Reason for the decision</w:t>
      </w:r>
    </w:p>
    <w:p>
      <w:pPr/>
      <w:r>
        <w:t>Individual licenses maximize personal control but divide an indivisible regional opportunity, force every worker to become an entrepreneur, and make large capital projects nearly impossible. A county authority or conventional private company could operate effectively, but the injured individuals would become beneficiaries of someone else's program rather than owners of their own remedy. Unions may be valuable organizers, but not every worker is represented, and union control would tie restitution to a separate institution. One national corporation would become remote, politically vulnerable, and too large for meaningful voice.</w:t>
      </w:r>
    </w:p>
    <w:p>
      <w:pPr/>
      <w:r>
        <w:t>The association allows commercial scale without surrendering individuality. It can contract, borrow, form subsidiaries, hire expertise, and negotiate with states. Yet every qualifying person remains a member with enforceable rights. The institution is the workers organized, not an intermediary standing over them.</w:t>
      </w:r>
    </w:p>
    <w:p>
      <w:pPr>
        <w:pStyle w:val="Heading1"/>
      </w:pPr>
      <w:r>
        <w:t>8. Associations Are Voluntary, Bounded, and Formed Before Allocation</w:t>
      </w:r>
    </w:p>
    <w:p>
      <w:pPr>
        <w:pStyle w:val="Heading2"/>
      </w:pPr>
      <w:r>
        <w:t>Decision</w:t>
      </w:r>
    </w:p>
    <w:p>
      <w:pPr/>
      <w:r>
        <w:t>Workers choose whether and with whom to associate during a founding period that closes before the association receives any commercial right. The default maximum is 2,500 founding members, with flexibility for small or unusually large cohorts.</w:t>
      </w:r>
    </w:p>
    <w:p>
      <w:pPr>
        <w:pStyle w:val="Heading2"/>
      </w:pPr>
      <w:r>
        <w:t>Alternatives</w:t>
      </w:r>
    </w:p>
    <w:p>
      <w:pPr/>
      <w:r>
        <w:t>Government could assign every worker automatically to a statewide body. Associations could remain permanently open. There could be no size limit, or each worksite could be required to form its own entity.</w:t>
      </w:r>
    </w:p>
    <w:p>
      <w:pPr>
        <w:pStyle w:val="Heading2"/>
      </w:pPr>
      <w:r>
        <w:t>Reason for the decision</w:t>
      </w:r>
    </w:p>
    <w:p>
      <w:pPr/>
      <w:r>
        <w:t>Automatic assignment would violate the freedom of association and could trap workers in institutions they distrust. Permanent open enrollment would encourage people to choose organizations for their winnings rather than shared governance and would make investor rights unstable. No size limit would reproduce the same voice problem that The Garden avoids by using many small nations. Mandatory worksite units could be too small to operate viable enterprises.</w:t>
      </w:r>
    </w:p>
    <w:p>
      <w:pPr/>
      <w:r>
        <w:t>The chosen rule combines free choice with institutional stability. The numerical ceiling is a default rather than an absolute because industries differ, but it establishes the intended scale: large enough to build, small enough for a member's vote and argument to matter.</w:t>
      </w:r>
    </w:p>
    <w:p>
      <w:pPr>
        <w:pStyle w:val="Heading1"/>
      </w:pPr>
      <w:r>
        <w:t>9. Every Member Receives Voice, Ownership, and Opportunity</w:t>
      </w:r>
    </w:p>
    <w:p>
      <w:pPr>
        <w:pStyle w:val="Heading2"/>
      </w:pPr>
      <w:r>
        <w:t>Decision</w:t>
      </w:r>
    </w:p>
    <w:p>
      <w:pPr/>
      <w:r>
        <w:t>Each founding member receives one vote, an equal base ownership interest, an equal base claim on distributions, inspection rights, and first opportunity for funded training, qualified employment, or a member franchise. Wages and patronage returns may still reflect work performed.</w:t>
      </w:r>
    </w:p>
    <w:p>
      <w:pPr>
        <w:pStyle w:val="Heading2"/>
      </w:pPr>
      <w:r>
        <w:t>Alternatives</w:t>
      </w:r>
    </w:p>
    <w:p>
      <w:pPr/>
      <w:r>
        <w:t>Shares could be weighted by former salary, years in the destroyed industry, estimated financial loss, capital contribution, or level of need. The program could provide job priority without ownership, or ownership without a role in governance.</w:t>
      </w:r>
    </w:p>
    <w:p>
      <w:pPr>
        <w:pStyle w:val="Heading2"/>
      </w:pPr>
      <w:r>
        <w:t>Reason for the decision</w:t>
      </w:r>
    </w:p>
    <w:p>
      <w:pPr/>
      <w:r>
        <w:t>Weighting by former salary would replicate old workplace hierarchies and quietly turn the program back into damages valuation. Weighting by years or need would require continuous administrative measurement and conflict. Job priority alone would leave workers dependent on managers who own the public asset. Passive shares alone would not restore the ability to build and work.</w:t>
      </w:r>
    </w:p>
    <w:p>
      <w:pPr/>
      <w:r>
        <w:t>One person, one founding unit expresses the policy's moral premise: each person was used as an individual means of policy and each receives a full civic standing in the remedy. Equal ownership governs the conferred public asset. Different wages remain legitimate because they compensate different labor after the new enterprise begins.</w:t>
      </w:r>
    </w:p>
    <w:p>
      <w:pPr>
        <w:pStyle w:val="Heading1"/>
      </w:pPr>
      <w:r>
        <w:t>10. Members May Be Active or Passive</w:t>
      </w:r>
    </w:p>
    <w:p>
      <w:pPr>
        <w:pStyle w:val="Heading2"/>
      </w:pPr>
      <w:r>
        <w:t>Decision</w:t>
      </w:r>
    </w:p>
    <w:p>
      <w:pPr/>
      <w:r>
        <w:t>No member must retrain, relocate, or work in the new enterprise. A person may retain ownership and voice while pursuing other work.</w:t>
      </w:r>
    </w:p>
    <w:p>
      <w:pPr>
        <w:pStyle w:val="Heading2"/>
      </w:pPr>
      <w:r>
        <w:t>Alternatives</w:t>
      </w:r>
    </w:p>
    <w:p>
      <w:pPr/>
      <w:r>
        <w:t>Benefits could be conditioned on employment, completion of training, residence in the compacted district, or a required capital contribution.</w:t>
      </w:r>
    </w:p>
    <w:p>
      <w:pPr>
        <w:pStyle w:val="Heading2"/>
      </w:pPr>
      <w:r>
        <w:t>Reason for the decision</w:t>
      </w:r>
    </w:p>
    <w:p>
      <w:pPr/>
      <w:r>
        <w:t>Many displaced workers will be older, disabled, rooted elsewhere, or successful in a different occupation by the time an enterprise opens. Requiring a second upheaval would make restitution coercive. Conditioning ownership on personal capital would favor the least harmed and exclude those whose savings were consumed after displacement.</w:t>
      </w:r>
    </w:p>
    <w:p>
      <w:pPr/>
      <w:r>
        <w:t>The association needs active workers, but it may hire members who want the work and nonmembers when necessary. The public debt belongs to the individual regardless of whether that individual becomes an employee of the resulting company.</w:t>
      </w:r>
    </w:p>
    <w:p>
      <w:pPr>
        <w:pStyle w:val="Heading1"/>
      </w:pPr>
      <w:r>
        <w:t>11. Founding Rights Cannot Be Sold Away</w:t>
      </w:r>
    </w:p>
    <w:p>
      <w:pPr>
        <w:pStyle w:val="Heading2"/>
      </w:pPr>
      <w:r>
        <w:t>Decision</w:t>
      </w:r>
    </w:p>
    <w:p>
      <w:pPr/>
      <w:r>
        <w:t>The association permanently retains voting control. Members cannot sell or pledge founding units, although one designated successor or estate may inherit the unit. Private investors may receive nonvoting economic rights.</w:t>
      </w:r>
    </w:p>
    <w:p>
      <w:pPr>
        <w:pStyle w:val="Heading2"/>
      </w:pPr>
      <w:r>
        <w:t>Alternatives</w:t>
      </w:r>
    </w:p>
    <w:p>
      <w:pPr/>
      <w:r>
        <w:t>Membership could be freely transferable. Investors could purchase voting equity or a controlling stake after a lockup period. Rights could expire at the worker's death. All descendants could inherit fractional interests.</w:t>
      </w:r>
    </w:p>
    <w:p>
      <w:pPr>
        <w:pStyle w:val="Heading2"/>
      </w:pPr>
      <w:r>
        <w:t>Reason for the decision</w:t>
      </w:r>
    </w:p>
    <w:p>
      <w:pPr/>
      <w:r>
        <w:t>Free transfer would invite investors to buy the remedy cheaply from workers under financial pressure. Investor voting control would turn a worker-restoration policy into another conventional company. Expiration at death would prevent the restored foundation from becoming family wealth, while division among all heirs would fragment governance indefinitely.</w:t>
      </w:r>
    </w:p>
    <w:p>
      <w:pPr/>
      <w:r>
        <w:t>One-successor inheritance is the clean compromise. It preserves continuity and wealth without multiplying votes. Nonvoting investment allows capital to earn a negotiated return while leaving control with those to whom the public debt is owed.</w:t>
      </w:r>
    </w:p>
    <w:p>
      <w:pPr>
        <w:pStyle w:val="Heading1"/>
      </w:pPr>
      <w:r>
        <w:t>12. State Participation Is Voluntary and Offer-Based</w:t>
      </w:r>
    </w:p>
    <w:p>
      <w:pPr>
        <w:pStyle w:val="Heading2"/>
      </w:pPr>
      <w:r>
        <w:t>Decision</w:t>
      </w:r>
    </w:p>
    <w:p>
      <w:pPr/>
      <w:r>
        <w:t>States choose whether to participate and publish complete industry-and-district offers before associations rank them. States regulate and supervise the compact but do not choose favored workers.</w:t>
      </w:r>
      <w:r>
        <w:t xml:space="preserve"> The published offer also fixes the flat state surplus-share rate, its protected baseline, and the menu of terms that may later be negotiated.</w:t>
      </w:r>
    </w:p>
    <w:p>
      <w:pPr>
        <w:pStyle w:val="Heading2"/>
      </w:pPr>
      <w:r>
        <w:t>Alternatives</w:t>
      </w:r>
    </w:p>
    <w:p>
      <w:pPr/>
      <w:r>
        <w:t>Congress could command states to open particular markets. Federal agencies could select districts. States could negotiate privately with associations before publishing terms. Governors could award compacts competitively based on policy merit.</w:t>
      </w:r>
    </w:p>
    <w:p>
      <w:pPr>
        <w:pStyle w:val="Heading2"/>
      </w:pPr>
      <w:r>
        <w:t>Reason for the decision</w:t>
      </w:r>
    </w:p>
    <w:p>
      <w:pPr/>
      <w:r>
        <w:t>Compulsion would collide with federalism and with the fact that many relevant prohibitions are matters of state law. Federal selection would ignore state constitutional and regulatory differences. Private pre-negotiation and merit competitions would create patronage, lobbying, and the appearance that restitution is a favor.</w:t>
      </w:r>
    </w:p>
    <w:p>
      <w:pPr/>
      <w:r>
        <w:t>Public offers preserve state sovereignty while constraining discretion. The state decides what it is willing to open and under what neutral safeguards. The matching rule decides which certified association reaches the table. The state remains accountable for the monopoly but cannot sell access through political favor.</w:t>
      </w:r>
    </w:p>
    <w:p>
      <w:pPr>
        <w:pStyle w:val="Heading1"/>
      </w:pPr>
      <w:r>
        <w:t>13. The Admissibility Test Is Absolute at the Time of the Offer</w:t>
      </w:r>
    </w:p>
    <w:p>
      <w:pPr>
        <w:pStyle w:val="Heading2"/>
      </w:pPr>
      <w:r>
        <w:t>Decision</w:t>
      </w:r>
    </w:p>
    <w:p>
      <w:pPr/>
      <w:r>
        <w:t>The relevant trade must be legally closed to every private citizen in the proposed district. If anyone already lawfully holds or competes for a job, license, contract, customer, queue position, or market share, the offer is barred.</w:t>
      </w:r>
    </w:p>
    <w:p>
      <w:pPr>
        <w:pStyle w:val="Heading2"/>
      </w:pPr>
      <w:r>
        <w:t>Alternatives</w:t>
      </w:r>
    </w:p>
    <w:p>
      <w:pPr/>
      <w:r>
        <w:t>States could reserve a percentage of an existing market, compensate displaced incumbents, impose a temporary preference in ordinary licensing, or allow Cornerstone enterprises to compete normally with subsidies.</w:t>
      </w:r>
    </w:p>
    <w:p>
      <w:pPr>
        <w:pStyle w:val="Heading2"/>
      </w:pPr>
      <w:r>
        <w:t>Reason for the decision</w:t>
      </w:r>
    </w:p>
    <w:p>
      <w:pPr/>
      <w:r>
        <w:t>Every alternative would impose a new injury or require taxpayer financing. The Garden's strongest feature is its harm test: restitution must not change the address of injustice. The Cornerstone adopts that rule without dilution.</w:t>
      </w:r>
    </w:p>
    <w:p>
      <w:pPr/>
      <w:r>
        <w:t>An absolute baseline is also administrable. Officials need not estimate competitive effects or decide how much harm is acceptable. Either a lawful private market exists in the district or it does not. New general legalization can proceed elsewhere, and ordinary entry begins in the compacted district at expiration.</w:t>
      </w:r>
    </w:p>
    <w:p>
      <w:pPr>
        <w:pStyle w:val="Heading1"/>
      </w:pPr>
      <w:r>
        <w:t>14. The Compact Lasts Thirty Years with One Automatic Ten-Year Renewal</w:t>
      </w:r>
    </w:p>
    <w:p>
      <w:pPr>
        <w:pStyle w:val="Heading2"/>
      </w:pPr>
      <w:r>
        <w:t>Decision</w:t>
      </w:r>
    </w:p>
    <w:p>
      <w:pPr/>
      <w:r>
        <w:t>The monopoly has a thirty-year initial term and a ten-year automatic renewal for material compliance and continued beneficiary control.</w:t>
      </w:r>
    </w:p>
    <w:p>
      <w:pPr>
        <w:pStyle w:val="Heading2"/>
      </w:pPr>
      <w:r>
        <w:t>Alternatives</w:t>
      </w:r>
    </w:p>
    <w:p>
      <w:pPr/>
      <w:r>
        <w:t>The right could be perpetual, last for the worker's lifetime, track a damages valuation, terminate when investors recover capital, or use a shorter ten- or twenty-year term like some intellectual-property rights.</w:t>
      </w:r>
    </w:p>
    <w:p>
      <w:pPr>
        <w:pStyle w:val="Heading2"/>
      </w:pPr>
      <w:r>
        <w:t>Reason for the decision</w:t>
      </w:r>
    </w:p>
    <w:p>
      <w:pPr/>
      <w:r>
        <w:t>A perpetual monopoly would exceed what is required to restore a working-life foundation and could create an entrenched private dominion. A lifetime term would be unstable because a group contains members of different ages. A damages-linked term would reintroduce monetary valuation. A short term could be impossible to finance in a capital-intensive regulated market.</w:t>
      </w:r>
    </w:p>
    <w:p>
      <w:pPr/>
      <w:r>
        <w:t>The fixed forty-year maximum is long enough to attract patient capital, train members, and build durable institutions. It is limited, known in advance, and unrelated to a bureaucratic estimate of individual worth. The automatic renewal removes political discretion while making compliance and beneficiary control essential.</w:t>
      </w:r>
    </w:p>
    <w:p>
      <w:pPr>
        <w:pStyle w:val="Heading1"/>
      </w:pPr>
      <w:r>
        <w:t>15. Matching Uses Ranked Choice, Age of Debt, and a Public Tie-Break</w:t>
      </w:r>
    </w:p>
    <w:p>
      <w:pPr>
        <w:pStyle w:val="Heading2"/>
      </w:pPr>
      <w:r>
        <w:t>Decision</w:t>
      </w:r>
    </w:p>
    <w:p>
      <w:pPr/>
      <w:r>
        <w:t>Associations submit sealed ranked preferences. When competing associations cannot divide an offer, the longest-unremedied certified event receives priority; simultaneous events are resolved by public random drawing.</w:t>
      </w:r>
    </w:p>
    <w:p>
      <w:pPr>
        <w:pStyle w:val="Heading2"/>
      </w:pPr>
      <w:r>
        <w:t>Alternatives</w:t>
      </w:r>
    </w:p>
    <w:p>
      <w:pPr/>
      <w:r>
        <w:t>States could select the strongest business plan, auction the monopoly, award it to the largest cohort, divide every offer proportionally, or allow first-come-first-served applications.</w:t>
      </w:r>
    </w:p>
    <w:p>
      <w:pPr>
        <w:pStyle w:val="Heading2"/>
      </w:pPr>
      <w:r>
        <w:t>Reason for the decision</w:t>
      </w:r>
    </w:p>
    <w:p>
      <w:pPr/>
      <w:r>
        <w:t>A business-plan competition would favor groups that already possess money and professional advisers. An auction would sell justice to the highest bidder. Size-based allocation would let large cohorts consume the program. Proportional division could destroy commercial viability. First-come-first-served rules reward speed and connections rather than the age of the unpaid wrong.</w:t>
      </w:r>
    </w:p>
    <w:p>
      <w:pPr/>
      <w:r>
        <w:t>Ranked choice preserves the associations' own judgment. Priority for the oldest event gives operational meaning to the accruing debt of injustice without converting time into money. A lottery is more honest than hidden discretion when claims are genuinely equal.</w:t>
      </w:r>
    </w:p>
    <w:p>
      <w:pPr>
        <w:pStyle w:val="Heading1"/>
      </w:pPr>
      <w:r>
        <w:t>16. The Federal Government Uses Existing Institutions</w:t>
      </w:r>
    </w:p>
    <w:p>
      <w:pPr>
        <w:pStyle w:val="Heading2"/>
      </w:pPr>
      <w:r>
        <w:t>Decision</w:t>
      </w:r>
    </w:p>
    <w:p>
      <w:pPr/>
      <w:r>
        <w:t>Labor certifies claims, Commerce operates the public Exchange, and the regulator responsible for a federal prohibition supplies any compact-specific authorization created by Congress.</w:t>
      </w:r>
    </w:p>
    <w:p>
      <w:pPr>
        <w:pStyle w:val="Heading2"/>
      </w:pPr>
      <w:r>
        <w:t>Alternatives</w:t>
      </w:r>
    </w:p>
    <w:p>
      <w:pPr/>
      <w:r>
        <w:t>A new Cornerstone Administration could control the whole program. States could run every function. A federal corporation could own the monopolies and contract operations to workers.</w:t>
      </w:r>
    </w:p>
    <w:p>
      <w:pPr>
        <w:pStyle w:val="Heading2"/>
      </w:pPr>
      <w:r>
        <w:t>Reason for the decision</w:t>
      </w:r>
    </w:p>
    <w:p>
      <w:pPr/>
      <w:r>
        <w:t>One new agency would concentrate certification, allocation, financing, and regulation in a body vulnerable to capture. State-only administration cannot resolve federal prohibitions or multi-state cohorts. Federal ownership would contradict the policy's commitment to worker control and to upside without government control.</w:t>
      </w:r>
    </w:p>
    <w:p>
      <w:pPr/>
      <w:r>
        <w:t>Dividing functions uses existing competence and creates checks. Labor determines who was injured. Commerce publishes and matches but does not decide eligibility. Existing regulators enforce their subject-matter law. States decide whether and where to participate.</w:t>
      </w:r>
    </w:p>
    <w:p>
      <w:pPr>
        <w:pStyle w:val="Heading1"/>
      </w:pPr>
      <w:r>
        <w:t>17. Eligibility Travels with the Worker, Not State Residence</w:t>
      </w:r>
    </w:p>
    <w:p>
      <w:pPr>
        <w:pStyle w:val="Heading2"/>
      </w:pPr>
      <w:r>
        <w:t>Decision</w:t>
      </w:r>
    </w:p>
    <w:p>
      <w:pPr/>
      <w:r>
        <w:t>An eligible person may join an association seeking an opportunity in any participating state. Neither membership nor customers may be restricted by current residence.</w:t>
      </w:r>
    </w:p>
    <w:p>
      <w:pPr>
        <w:pStyle w:val="Heading2"/>
      </w:pPr>
      <w:r>
        <w:t>Alternatives</w:t>
      </w:r>
    </w:p>
    <w:p>
      <w:pPr/>
      <w:r>
        <w:t>States could reserve their offers for current residents, for people formerly employed in that state, or for associations promising to hire a set percentage of residents.</w:t>
      </w:r>
    </w:p>
    <w:p>
      <w:pPr>
        <w:pStyle w:val="Heading2"/>
      </w:pPr>
      <w:r>
        <w:t>Reason for the decision</w:t>
      </w:r>
    </w:p>
    <w:p>
      <w:pPr/>
      <w:r>
        <w:t>Residence preferences would strand workers in nonparticipating states and raise serious interstate-commerce and Privileges and Immunities concerns. They would also mistake the source of eligibility: the right arises from direct injury, not local citizenship.</w:t>
      </w:r>
    </w:p>
    <w:p>
      <w:pPr/>
      <w:r>
        <w:t>The business remains geographically rooted because the compact specifies where it operates. The state receives jobs, taxes, services, and investment without excluding Americans from a common calling merely because they crossed a state line.</w:t>
      </w:r>
    </w:p>
    <w:p>
      <w:pPr>
        <w:pStyle w:val="Heading1"/>
      </w:pPr>
      <w:r>
        <w:t>18. Private Capital Receives Economics but Not Control</w:t>
      </w:r>
    </w:p>
    <w:p>
      <w:pPr>
        <w:pStyle w:val="Heading2"/>
      </w:pPr>
      <w:r>
        <w:t>Decision</w:t>
      </w:r>
    </w:p>
    <w:p>
      <w:pPr/>
      <w:r>
        <w:t>Investors may receive debt, nonvoting equity, or revenue interests. They receive no voting control, veto over the compact, or public regulatory power.</w:t>
      </w:r>
    </w:p>
    <w:p>
      <w:pPr>
        <w:pStyle w:val="Heading2"/>
      </w:pPr>
      <w:r>
        <w:t>Alternatives</w:t>
      </w:r>
    </w:p>
    <w:p>
      <w:pPr/>
      <w:r>
        <w:t>Government could supply all capital. Investors could receive ordinary controlling equity. States could take a golden share to protect the mission. The association could be barred from outside capital entirely.</w:t>
      </w:r>
    </w:p>
    <w:p>
      <w:pPr>
        <w:pStyle w:val="Heading2"/>
      </w:pPr>
      <w:r>
        <w:t>Reason for the decision</w:t>
      </w:r>
    </w:p>
    <w:p>
      <w:pPr/>
      <w:r>
        <w:t>Full public financing would create large fiscal exposure and political control. Ordinary venture control would allow investors to acquire the restored liberty. A government golden share would create the quiet corporate leverage rejected elsewhere in the platform. Prohibiting outside capital would leave many opportunities unusable.</w:t>
      </w:r>
    </w:p>
    <w:p>
      <w:pPr/>
      <w:r>
        <w:t>Nonvoting economics separates investment return from governance. Investors can be paid for risk; workers retain the public right and the enterprise's direction. State supervision remains public, reviewable regulation rather than covert ownership influence.</w:t>
      </w:r>
    </w:p>
    <w:p>
      <w:pPr>
        <w:pStyle w:val="Heading1"/>
      </w:pPr>
      <w:r>
        <w:t>19. The Founding Fund Is a Repayable Enterprise Advance</w:t>
      </w:r>
    </w:p>
    <w:p>
      <w:pPr>
        <w:pStyle w:val="Heading2"/>
      </w:pPr>
      <w:r>
        <w:t>Decision</w:t>
      </w:r>
    </w:p>
    <w:p>
      <w:pPr/>
      <w:r>
        <w:t>A revolving fund advances petition, formation, feasibility, licensing, and training costs. The association, not the individual, repays the advance from revenue under a fixed formula that expires after principal and a public return are recovered.</w:t>
      </w:r>
    </w:p>
    <w:p>
      <w:pPr>
        <w:pStyle w:val="Heading2"/>
      </w:pPr>
      <w:r>
        <w:t>Alternatives</w:t>
      </w:r>
    </w:p>
    <w:p>
      <w:pPr/>
      <w:r>
        <w:t>Workers could pay their own costs, receive grants, take personal income-sharing loans, or rely entirely on investors. The state could deduct costs from future distributions.</w:t>
      </w:r>
    </w:p>
    <w:p>
      <w:pPr>
        <w:pStyle w:val="Heading2"/>
      </w:pPr>
      <w:r>
        <w:t>Reason for the decision</w:t>
      </w:r>
    </w:p>
    <w:p>
      <w:pPr/>
      <w:r>
        <w:t>Requiring personal payment would bar the workers most depleted by the wrong. Grants would contradict the zero-net-cost design. Personal loans would make the injured person borrow to receive justice. Investors alone may not fund the pre-commercial work needed before a compact is bankable.</w:t>
      </w:r>
    </w:p>
    <w:p>
      <w:pPr/>
      <w:r>
        <w:t>An enterprise advance places repayment where the new value is created. It resembles The Garden's Founding Fund, keeps the worker free of personal debt, and makes the program self-replenishing. An actuarially set percentage accommodates different industries while remaining fixed before operations begin.</w:t>
      </w:r>
    </w:p>
    <w:p>
      <w:pPr>
        <w:pStyle w:val="Heading1"/>
      </w:pPr>
      <w:r>
        <w:t>19A. A Published State Surplus Share Supports Land Acquisition</w:t>
      </w:r>
    </w:p>
    <w:p>
      <w:pPr>
        <w:pStyle w:val="Heading2"/>
      </w:pPr>
      <w:r>
        <w:t>Decision</w:t>
      </w:r>
    </w:p>
    <w:p>
      <w:pPr/>
      <w:r>
        <w:t>Every compact includes a modest flat state share of positive surplus above a protected financial baseline. The percentage and uniform calculation are disclosed in the state offer before associations rank it, and receipts fund state land acquisition. Associations can seek more valuable commercial terms within the published menu. The share gives the state no corporate control and remains separate from the finite Founding Fund repayment.</w:t>
      </w:r>
    </w:p>
    <w:p>
      <w:pPr>
        <w:pStyle w:val="Heading2"/>
      </w:pPr>
      <w:r>
        <w:t>Alternatives</w:t>
      </w:r>
    </w:p>
    <w:p>
      <w:pPr/>
      <w:r>
        <w:t>A percentage of all accounting profit would be simpler but might claim cash needed for reserves, working capital, replacement equipment, or required debt service. Individually negotiated percentages would fit unusual firms but invite favoritism after matching. A flat fee or valuation-based bracket would track financial capacity poorly.</w:t>
      </w:r>
    </w:p>
    <w:p>
      <w:pPr>
        <w:pStyle w:val="Heading2"/>
      </w:pPr>
      <w:r>
        <w:t>Reason for the decision</w:t>
      </w:r>
    </w:p>
    <w:p>
      <w:pPr/>
      <w:r>
        <w:t>A common flat rate above a formula-based baseline lets actual payments adapt to different businesses without giving officials a private rate-setting power. The rules recognize prior losses, required Founding Fund remittances, measurable reserves, necessary replacement spending, and bounded investment, each only once. Independent verification and a narrow calculation appeal police the inputs. Positive surplus supports a public land account while worker members retain governance and the commercial upside needed to make the remedy useful.</w:t>
      </w:r>
    </w:p>
    <w:p>
      <w:pPr>
        <w:pStyle w:val="Heading1"/>
      </w:pPr>
      <w:r>
        <w:t>20. A Usable Opportunity, Not Profit, Discharges the Debt</w:t>
      </w:r>
    </w:p>
    <w:p>
      <w:pPr>
        <w:pStyle w:val="Heading2"/>
      </w:pPr>
      <w:r>
        <w:t>Decision</w:t>
      </w:r>
    </w:p>
    <w:p>
      <w:pPr/>
      <w:r>
        <w:t>The debt closes when the association receives an enforceable compact, all necessary governmental authorizations, independent feasibility work, funded training access, and a lawful path to private capital. The state does not guarantee profit. Governmental defeat of the compact reopens the debt; ordinary market failure does not.</w:t>
      </w:r>
    </w:p>
    <w:p>
      <w:pPr>
        <w:pStyle w:val="Heading2"/>
      </w:pPr>
      <w:r>
        <w:t>Alternatives</w:t>
      </w:r>
    </w:p>
    <w:p>
      <w:pPr/>
      <w:r>
        <w:t>The debt could close when a license is issued, when financing closes, after a minimum revenue level is reached, after members recover a specified dollar value, or only when the compact expires.</w:t>
      </w:r>
    </w:p>
    <w:p>
      <w:pPr>
        <w:pStyle w:val="Heading2"/>
      </w:pPr>
      <w:r>
        <w:t>Reason for the decision</w:t>
      </w:r>
    </w:p>
    <w:p>
      <w:pPr/>
      <w:r>
        <w:t>License issuance alone invites hollow remedies. Revenue and recovery thresholds would turn government into a guarantor of business results and reintroduce dollar valuation. Waiting until expiration would leave the public obligation open despite decades of genuine opportunity.</w:t>
      </w:r>
    </w:p>
    <w:p>
      <w:pPr/>
      <w:r>
        <w:t>The selected line separates public responsibility from entrepreneurial responsibility. Government must provide a real, stable field in which effort can work. It need not promise that customers will come. This preserves both justice and agency.</w:t>
      </w:r>
    </w:p>
    <w:p>
      <w:pPr>
        <w:pStyle w:val="Heading1"/>
      </w:pPr>
      <w:r>
        <w:t>21. Independent Supervision Is Required</w:t>
      </w:r>
    </w:p>
    <w:p>
      <w:pPr>
        <w:pStyle w:val="Heading2"/>
      </w:pPr>
      <w:r>
        <w:t>Decision</w:t>
      </w:r>
    </w:p>
    <w:p>
      <w:pPr/>
      <w:r>
        <w:t>The legislature expressly authorizes the competitive displacement, and a state official or agency not controlled by market participants actively supervises the compact's public conditions.</w:t>
      </w:r>
    </w:p>
    <w:p>
      <w:pPr>
        <w:pStyle w:val="Heading2"/>
      </w:pPr>
      <w:r>
        <w:t>Alternatives</w:t>
      </w:r>
    </w:p>
    <w:p>
      <w:pPr/>
      <w:r>
        <w:t>The worker association could regulate itself. A board dominated by association members could issue and police licenses. The state could rely only on ordinary courts or retain a nominal power it rarely exercises.</w:t>
      </w:r>
    </w:p>
    <w:p>
      <w:pPr>
        <w:pStyle w:val="Heading2"/>
      </w:pPr>
      <w:r>
        <w:t>Reason for the decision</w:t>
      </w:r>
    </w:p>
    <w:p>
      <w:pPr/>
      <w:r>
        <w:t>Self-government of the enterprise is essential, but self-regulation of a legally protected monopoly creates both substantive risk and antitrust exposure. The Supreme Court's state-action cases distinguish sovereign policy from private restraint and require real supervision when market participants control a regulatory body.</w:t>
      </w:r>
    </w:p>
    <w:p>
      <w:pPr/>
      <w:r>
        <w:t>The design therefore keeps two powers separate. Members govern the company. The state openly governs the monopoly's public terms and remains politically accountable for them.</w:t>
      </w:r>
    </w:p>
    <w:p>
      <w:pPr>
        <w:pStyle w:val="Heading1"/>
      </w:pPr>
      <w:r>
        <w:t>22. The Garden and The Cornerstone Remain Distinct</w:t>
      </w:r>
    </w:p>
    <w:p>
      <w:pPr>
        <w:pStyle w:val="Heading2"/>
      </w:pPr>
      <w:r>
        <w:t>Decision</w:t>
      </w:r>
    </w:p>
    <w:p>
      <w:pPr/>
      <w:r>
        <w:t>Both policies use prohibited liberties, but The Garden vests them in self-governing nations while The Cornerstone vests them in worker-owned associations. A person may qualify for both because the debts are different. States label offers for one program or both before seeing applicants.</w:t>
      </w:r>
    </w:p>
    <w:p>
      <w:pPr>
        <w:pStyle w:val="Heading2"/>
      </w:pPr>
      <w:r>
        <w:t>Alternatives</w:t>
      </w:r>
    </w:p>
    <w:p>
      <w:pPr/>
      <w:r>
        <w:t>The programs could be merged into one restitution authority, assigned fixed percentages of every state offering, or made mutually exclusive at the individual level. Garden nations could operate all Cornerstone enterprises on behalf of displaced workers.</w:t>
      </w:r>
    </w:p>
    <w:p>
      <w:pPr>
        <w:pStyle w:val="Heading2"/>
      </w:pPr>
      <w:r>
        <w:t>Reason for the decision</w:t>
      </w:r>
    </w:p>
    <w:p>
      <w:pPr/>
      <w:r>
        <w:t>Merger would blur the injuries and weaken both remedies. The Garden repairs destroyed nations, inheritance, and political self-government. The Cornerstone repairs deliberate destruction of individual livelihoods. Fixed quotas would be arbitrary because state participation and market opportunities differ. Mutual exclusivity would erase one debt merely because a person was also owed another.</w:t>
      </w:r>
    </w:p>
    <w:p>
      <w:pPr/>
      <w:r>
        <w:t>Separate recipients preserve moral precision. Advance designation prevents governments from shifting valuable offers after seeing which claimants appear. A shared public exchange coordinates scarcity without creating a single institution that governs both forms of justice.</w:t>
      </w:r>
    </w:p>
    <w:p>
      <w:pPr>
        <w:pStyle w:val="Heading1"/>
      </w:pPr>
      <w:r>
        <w:t>23. The Name “The Cornerstone” Was Retained</w:t>
      </w:r>
    </w:p>
    <w:p>
      <w:pPr>
        <w:pStyle w:val="Heading2"/>
      </w:pPr>
      <w:r>
        <w:t>Decision</w:t>
      </w:r>
    </w:p>
    <w:p>
      <w:pPr/>
      <w:r>
        <w:t>The paper uses The Cornerstone as the policy's title.</w:t>
      </w:r>
    </w:p>
    <w:p>
      <w:pPr>
        <w:pStyle w:val="Heading2"/>
      </w:pPr>
      <w:r>
        <w:t>Alternatives</w:t>
      </w:r>
    </w:p>
    <w:p>
      <w:pPr/>
      <w:r>
        <w:t>Possible alternatives include the Livelihood Restoration Compact, Economic Foundation Act, Liberty Restitution for Displaced Workers, or the Industrial Justice Compact.</w:t>
      </w:r>
    </w:p>
    <w:p>
      <w:pPr>
        <w:pStyle w:val="Heading2"/>
      </w:pPr>
      <w:r>
        <w:t>Reason for the decision</w:t>
      </w:r>
    </w:p>
    <w:p>
      <w:pPr/>
      <w:r>
        <w:t>The existing name captures the policy's central insight better than an administrative title. A job and occupation are not merely an income stream; they can be the cornerstone around which a person builds a home, family, identity, skill, and community life. When government intentionally pulls that stone out, its obligation is not to hand over rubble of equivalent estimated value. It must provide a new foundation capable of bearing weight.</w:t>
      </w:r>
    </w:p>
    <w:p>
      <w:pPr/>
      <w:r>
        <w:t>The formal legislation can use a descriptive subtitle - for example, “The Cornerstone: Deliberately Displaced Workers Economic Liberty Act” - while the platform retains the memorable name.</w:t>
      </w:r>
    </w:p>
    <w:p>
      <w:pPr>
        <w:pStyle w:val="Heading1"/>
      </w:pPr>
      <w:r>
        <w:t>Conclusion</w:t>
      </w:r>
    </w:p>
    <w:p>
      <w:pPr/>
      <w:r>
        <w:t>The final design follows one discipline throughout: preserve the debt's individuality while building an institution strong enough to exercise the remedy. Every major choice serves that balance.</w:t>
      </w:r>
    </w:p>
    <w:p>
      <w:pPr/>
      <w:r>
        <w:t>The association provides scale, but each worker retains voice. The state provides exclusivity, but only from a market no one presently occupies. Investors provide capital, but cannot purchase control. Government supervises openly, but does not sit inside the company. The public advances formation costs, but the enterprise repays them. The worker receives a usable opportunity, but not guaranteed profit. The debt survives time, but does not become an incalculable money judgment.</w:t>
      </w:r>
    </w:p>
    <w:p>
      <w:pPr/>
      <w:r>
        <w:t>Other reasonable versions are possible, particularly on term length, succession, association size, and the treatment of very old events. The recommended choices were selected because together they produce the clearest expression of the policy's moral idea: government may pursue public policy, but it may not deliberately sacrifice particular citizens and walk away. If it removes the cornerstone of a person's economic life, it owes that person a new foundation on which freedom and effort can build again.</w:t>
      </w:r>
    </w:p>
    <w:sectPr w:rsidR="005615EB" w:rsidRPr="004A78CC">
      <w:headerReference w:type="default" r:id="rId11"/>
      <w:footerReference w:type="even" r:id="rId12"/>
      <w:footerReference w:type="default" r:id="rId13"/>
      <w:footerReference w:type="first" r:id="rId16"/>
      <w:pgSz w:w="12240" w:h="15840"/>
      <w:pgMar w:top="1080" w:right="1152" w:bottom="108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8DDD12" w14:textId="77777777" w:rsidR="003A7DEA" w:rsidRDefault="003A7DEA" w:rsidP="00262EC7">
      <w:pPr>
        <w:spacing w:after="0" w:line="240" w:lineRule="auto"/>
      </w:pPr>
      <w:r>
        <w:separator/>
      </w:r>
    </w:p>
  </w:endnote>
  <w:endnote w:type="continuationSeparator" w:id="0">
    <w:p w14:paraId="68E6BDFA" w14:textId="77777777" w:rsidR="003A7DEA" w:rsidRDefault="003A7DEA" w:rsidP="00262E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idot">
    <w:panose1 w:val="02000503000000020003"/>
    <w:charset w:val="B1"/>
    <w:family w:val="auto"/>
    <w:pitch w:val="variable"/>
    <w:sig w:usb0="80000867" w:usb1="00000000" w:usb2="00000000" w:usb3="00000000" w:csb0="000001FB" w:csb1="00000000"/>
  </w:font>
  <w:font w:name="Cambria Math">
    <w:panose1 w:val="02040503050406030204"/>
    <w:charset w:val="00"/>
    <w:family w:val="roman"/>
    <w:pitch w:val="variable"/>
    <w:sig w:usb0="E00002FF" w:usb1="420024FF"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19187358"/>
      <w:docPartObj>
        <w:docPartGallery w:val="Page Numbers (Bottom of Page)"/>
        <w:docPartUnique/>
      </w:docPartObj>
    </w:sdtPr>
    <w:sdtContent>
      <w:p w14:paraId="6EE5CC73" w14:textId="5E0AA02C" w:rsidR="00A513F2" w:rsidRDefault="00A513F2" w:rsidP="004A0EF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511536077"/>
      <w:docPartObj>
        <w:docPartGallery w:val="Page Numbers (Bottom of Page)"/>
        <w:docPartUnique/>
      </w:docPartObj>
    </w:sdtPr>
    <w:sdtContent>
      <w:p w14:paraId="28BD70C1" w14:textId="10713836" w:rsidR="00BD4B9F" w:rsidRDefault="00BD4B9F" w:rsidP="00A513F2">
        <w:pPr>
          <w:pStyle w:val="Footer"/>
          <w:framePr w:wrap="none" w:vAnchor="text" w:hAnchor="margin" w:xAlign="center"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8CC17E4" w14:textId="77777777" w:rsidR="00BD4B9F" w:rsidRDefault="00BD4B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312"/>
      <w:gridCol w:w="3312"/>
      <w:gridCol w:w="3312"/>
    </w:tblGrid>
    <w:tr>
      <w:tc>
        <w:tcPr>
          <w:tcW w:type="dxa" w:w="2271369"/>
          <w:vAlign w:val="center"/>
        </w:tcPr>
        <w:p>
          <w:pPr>
            <w:jc w:val="left"/>
          </w:pPr>
          <w:r>
            <w:rPr>
              <w:rFonts w:ascii="Arial" w:hAnsi="Arial"/>
              <w:color w:val="666666"/>
              <w:sz w:val="16"/>
            </w:rPr>
            <w:t>September 28, 2026</w:t>
          </w:r>
        </w:p>
      </w:tc>
      <w:tc>
        <w:tcPr>
          <w:tcW w:type="dxa" w:w="1766620"/>
          <w:vAlign w:val="center"/>
        </w:tcPr>
        <w:p>
          <w:pPr>
            <w:jc w:val="center"/>
          </w:pPr>
          <w:r/>
        </w:p>
      </w:tc>
      <w:tc>
        <w:tcPr>
          <w:tcW w:type="dxa" w:w="2271369"/>
          <w:vAlign w:val="center"/>
        </w:tcPr>
        <w:p>
          <w:pPr>
            <w:jc w:val="right"/>
          </w:pPr>
          <w:r>
            <w:rPr>
              <w:rFonts w:ascii="Arial" w:hAnsi="Arial"/>
              <w:color w:val="666666"/>
              <w:sz w:val="16"/>
            </w:rPr>
            <w:t xml:space="preserve">Page </w:t>
          </w:r>
          <w:fldSimple w:instr="PAGE">
            <w:r>
              <w:rPr>
                <w:rFonts w:ascii="Arial" w:hAnsi="Arial"/>
                <w:color w:val="666666"/>
                <w:sz w:val="16"/>
              </w:rPr>
              <w:t>1</w:t>
            </w:r>
          </w:fldSimple>
          <w:r>
            <w:rPr>
              <w:rFonts w:ascii="Arial" w:hAnsi="Arial"/>
              <w:color w:val="666666"/>
              <w:sz w:val="16"/>
            </w:rPr>
            <w:t xml:space="preserve"> of </w:t>
          </w:r>
          <w:fldSimple w:instr="NUMPAGES">
            <w:r>
              <w:rPr>
                <w:rFonts w:ascii="Arial" w:hAnsi="Arial"/>
                <w:color w:val="666666"/>
                <w:sz w:val="16"/>
              </w:rPr>
              <w:t>1</w:t>
            </w:r>
          </w:fldSimple>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02E77B" w14:textId="77777777" w:rsidR="003A7DEA" w:rsidRDefault="003A7DEA" w:rsidP="00262EC7">
      <w:pPr>
        <w:spacing w:after="0" w:line="240" w:lineRule="auto"/>
      </w:pPr>
      <w:r>
        <w:separator/>
      </w:r>
    </w:p>
  </w:footnote>
  <w:footnote w:type="continuationSeparator" w:id="0">
    <w:p w14:paraId="24A6CED5" w14:textId="77777777" w:rsidR="003A7DEA" w:rsidRDefault="003A7DEA" w:rsidP="00262EC7">
      <w:pPr>
        <w:spacing w:after="0" w:line="240" w:lineRule="auto"/>
      </w:pPr>
      <w:r>
        <w:continuationSeparator/>
      </w:r>
    </w:p>
  </w:footnote>
  <w:footnote w:id="1">
    <w:p w14:paraId="48969630" w14:textId="360DA884" w:rsidR="00444FA0" w:rsidRPr="00444FA0" w:rsidRDefault="00444FA0" w:rsidP="00444FA0">
      <w:pPr>
        <w:pStyle w:val="font-claude-response-body"/>
        <w:rPr>
          <w:rFonts w:ascii="Didot" w:hAnsi="Didot" w:cs="Didot"/>
          <w:color w:val="000000" w:themeColor="text1"/>
        </w:rPr>
      </w:pPr>
      <w:r>
        <w:rPr>
          <w:rStyle w:val="FootnoteReference"/>
        </w:rPr>
        <w:footnoteRef/>
      </w:r>
      <w:r>
        <w:t xml:space="preserve"> </w:t>
      </w:r>
      <w:r w:rsidRPr="00975649">
        <w:rPr>
          <w:rFonts w:ascii="Didot" w:hAnsi="Didot" w:cs="Didot"/>
          <w:sz w:val="16"/>
          <w:szCs w:val="16"/>
        </w:rPr>
        <w:t>Braiding Sweetgrass: Indigenous Wisdom, Scientific Knowledge, and the Teachings of Plants</w:t>
      </w:r>
      <w:r w:rsidRPr="00975649">
        <w:rPr>
          <w:rFonts w:ascii="Didot" w:hAnsi="Didot" w:cs="Didot" w:hint="cs"/>
          <w:sz w:val="16"/>
          <w:szCs w:val="16"/>
        </w:rPr>
        <w:t>, 2013, Robin Wall Kimmerer, Milkweed Editions, Minneapolis, Minnesota.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0341D2" w14:textId="69791677" w:rsidR="00BD4B9F" w:rsidRPr="00BA5E09" w:rsidRDefault="00BD4B9F">
    <w:pPr>
      <w:pStyle w:val="Header"/>
      <w:rPr>
        <w:rFonts w:ascii="Century Schoolbook" w:hAnsi="Century Schoolbook" w:cs="Didot"/>
        <w:color w:val="000000" w:themeColor="text1"/>
        <w:sz w:val="20"/>
        <w:szCs w:val="20"/>
      </w:rPr>
    </w:pPr>
    <w:r>
      <w:t>Phillip Galinsky for America 2028 | Design Commentary</w:t>
      <w:tab/>
      <w:t>galinsky2028.us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51F7B96"/>
    <w:multiLevelType w:val="hybridMultilevel"/>
    <w:tmpl w:val="F904B7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4D3AA1"/>
    <w:multiLevelType w:val="multilevel"/>
    <w:tmpl w:val="E2FC6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963870"/>
    <w:multiLevelType w:val="multilevel"/>
    <w:tmpl w:val="C576E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7388043">
    <w:abstractNumId w:val="0"/>
  </w:num>
  <w:num w:numId="2" w16cid:durableId="755593075">
    <w:abstractNumId w:val="2"/>
  </w:num>
  <w:num w:numId="3" w16cid:durableId="11371892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EEF"/>
    <w:rsid w:val="00004EA9"/>
    <w:rsid w:val="00076EF8"/>
    <w:rsid w:val="00093949"/>
    <w:rsid w:val="000A0590"/>
    <w:rsid w:val="000C4861"/>
    <w:rsid w:val="000C7DBC"/>
    <w:rsid w:val="000E7614"/>
    <w:rsid w:val="000F3A2A"/>
    <w:rsid w:val="00103749"/>
    <w:rsid w:val="001357D9"/>
    <w:rsid w:val="0014497F"/>
    <w:rsid w:val="001525FE"/>
    <w:rsid w:val="00180225"/>
    <w:rsid w:val="001D5025"/>
    <w:rsid w:val="002053C5"/>
    <w:rsid w:val="002234D5"/>
    <w:rsid w:val="002244CA"/>
    <w:rsid w:val="00245424"/>
    <w:rsid w:val="002515DE"/>
    <w:rsid w:val="00262EC7"/>
    <w:rsid w:val="00266289"/>
    <w:rsid w:val="002746E1"/>
    <w:rsid w:val="002D30D3"/>
    <w:rsid w:val="002E3C97"/>
    <w:rsid w:val="002E56E3"/>
    <w:rsid w:val="002E619F"/>
    <w:rsid w:val="002F05D9"/>
    <w:rsid w:val="003060DF"/>
    <w:rsid w:val="00314AAC"/>
    <w:rsid w:val="00337C8D"/>
    <w:rsid w:val="003844E3"/>
    <w:rsid w:val="00394E37"/>
    <w:rsid w:val="003A7DEA"/>
    <w:rsid w:val="003B720A"/>
    <w:rsid w:val="003F4137"/>
    <w:rsid w:val="00426D11"/>
    <w:rsid w:val="0044242D"/>
    <w:rsid w:val="00444FA0"/>
    <w:rsid w:val="00445263"/>
    <w:rsid w:val="004A0EFD"/>
    <w:rsid w:val="004A78CC"/>
    <w:rsid w:val="004B05BA"/>
    <w:rsid w:val="004D0101"/>
    <w:rsid w:val="005407C5"/>
    <w:rsid w:val="005615EB"/>
    <w:rsid w:val="00564BBB"/>
    <w:rsid w:val="00567B99"/>
    <w:rsid w:val="00583D6F"/>
    <w:rsid w:val="00592211"/>
    <w:rsid w:val="00597F2C"/>
    <w:rsid w:val="005A17DE"/>
    <w:rsid w:val="005C238E"/>
    <w:rsid w:val="005F2CD6"/>
    <w:rsid w:val="00611CDD"/>
    <w:rsid w:val="00643EEF"/>
    <w:rsid w:val="00647885"/>
    <w:rsid w:val="00670A1D"/>
    <w:rsid w:val="00672B52"/>
    <w:rsid w:val="00691542"/>
    <w:rsid w:val="00692F30"/>
    <w:rsid w:val="006C2CED"/>
    <w:rsid w:val="006D14B1"/>
    <w:rsid w:val="006E7575"/>
    <w:rsid w:val="0074510E"/>
    <w:rsid w:val="00765EC4"/>
    <w:rsid w:val="0077104C"/>
    <w:rsid w:val="0077420A"/>
    <w:rsid w:val="0079084F"/>
    <w:rsid w:val="007A702A"/>
    <w:rsid w:val="007C04F8"/>
    <w:rsid w:val="007C5F66"/>
    <w:rsid w:val="007D4879"/>
    <w:rsid w:val="007F3E2C"/>
    <w:rsid w:val="00841B6E"/>
    <w:rsid w:val="00852579"/>
    <w:rsid w:val="00864D42"/>
    <w:rsid w:val="00890FEF"/>
    <w:rsid w:val="008C4668"/>
    <w:rsid w:val="008D678F"/>
    <w:rsid w:val="008E357A"/>
    <w:rsid w:val="008F3C17"/>
    <w:rsid w:val="0093090D"/>
    <w:rsid w:val="00932A8F"/>
    <w:rsid w:val="00932EF6"/>
    <w:rsid w:val="009406AA"/>
    <w:rsid w:val="00957D02"/>
    <w:rsid w:val="00960FCD"/>
    <w:rsid w:val="00967EEF"/>
    <w:rsid w:val="00975649"/>
    <w:rsid w:val="00980BA4"/>
    <w:rsid w:val="009813CF"/>
    <w:rsid w:val="00984F67"/>
    <w:rsid w:val="009C006A"/>
    <w:rsid w:val="009C4DB2"/>
    <w:rsid w:val="009E237E"/>
    <w:rsid w:val="00A16346"/>
    <w:rsid w:val="00A255B9"/>
    <w:rsid w:val="00A31B65"/>
    <w:rsid w:val="00A328DE"/>
    <w:rsid w:val="00A34519"/>
    <w:rsid w:val="00A4265B"/>
    <w:rsid w:val="00A467FE"/>
    <w:rsid w:val="00A46D67"/>
    <w:rsid w:val="00A50CE3"/>
    <w:rsid w:val="00A513F2"/>
    <w:rsid w:val="00A53721"/>
    <w:rsid w:val="00A56238"/>
    <w:rsid w:val="00A85BD5"/>
    <w:rsid w:val="00AA7D83"/>
    <w:rsid w:val="00AB36C8"/>
    <w:rsid w:val="00AC5EB0"/>
    <w:rsid w:val="00B06754"/>
    <w:rsid w:val="00B1089F"/>
    <w:rsid w:val="00B34A8E"/>
    <w:rsid w:val="00B54AE5"/>
    <w:rsid w:val="00B7688E"/>
    <w:rsid w:val="00B77A74"/>
    <w:rsid w:val="00B8208A"/>
    <w:rsid w:val="00B849FE"/>
    <w:rsid w:val="00BA5E09"/>
    <w:rsid w:val="00BC511A"/>
    <w:rsid w:val="00BD1A61"/>
    <w:rsid w:val="00BD4B9F"/>
    <w:rsid w:val="00C21F01"/>
    <w:rsid w:val="00C268D8"/>
    <w:rsid w:val="00C300A1"/>
    <w:rsid w:val="00C349F2"/>
    <w:rsid w:val="00C6214D"/>
    <w:rsid w:val="00C90478"/>
    <w:rsid w:val="00CA1AC9"/>
    <w:rsid w:val="00CA45E7"/>
    <w:rsid w:val="00CB30AE"/>
    <w:rsid w:val="00CB47A2"/>
    <w:rsid w:val="00CD7258"/>
    <w:rsid w:val="00CE4C7F"/>
    <w:rsid w:val="00D30FF0"/>
    <w:rsid w:val="00D5095B"/>
    <w:rsid w:val="00D81D38"/>
    <w:rsid w:val="00D85FA7"/>
    <w:rsid w:val="00DA32EC"/>
    <w:rsid w:val="00DA472B"/>
    <w:rsid w:val="00DB73D0"/>
    <w:rsid w:val="00DB7A51"/>
    <w:rsid w:val="00DD507D"/>
    <w:rsid w:val="00DF2F47"/>
    <w:rsid w:val="00DF442D"/>
    <w:rsid w:val="00E12951"/>
    <w:rsid w:val="00E12DEC"/>
    <w:rsid w:val="00E37680"/>
    <w:rsid w:val="00E43A0D"/>
    <w:rsid w:val="00E83449"/>
    <w:rsid w:val="00E96F9D"/>
    <w:rsid w:val="00EB41E5"/>
    <w:rsid w:val="00ED4C76"/>
    <w:rsid w:val="00ED63B6"/>
    <w:rsid w:val="00EE3282"/>
    <w:rsid w:val="00EF2D13"/>
    <w:rsid w:val="00F03370"/>
    <w:rsid w:val="00F20434"/>
    <w:rsid w:val="00F21816"/>
    <w:rsid w:val="00F2554B"/>
    <w:rsid w:val="00F33354"/>
    <w:rsid w:val="00F3490A"/>
    <w:rsid w:val="00F71AD0"/>
    <w:rsid w:val="00FA6330"/>
    <w:rsid w:val="00FF0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B216B"/>
  <w15:chartTrackingRefBased/>
  <w15:docId w15:val="{573270CF-74B9-C347-826C-50594147BEA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rFonts w:ascii="Didot" w:hAnsi="Didot"/>
      <w:sz w:val="22"/>
    </w:rPr>
  </w:style>
  <w:style w:type="paragraph" w:styleId="Heading1">
    <w:name w:val="heading 1"/>
    <w:basedOn w:val="Normal"/>
    <w:next w:val="Normal"/>
    <w:link w:val="Heading1Char"/>
    <w:uiPriority w:val="9"/>
    <w:qFormat/>
    <w:rsid w:val="00643EEF"/>
    <w:pPr>
      <w:keepNext/>
      <w:keepLines/>
      <w:spacing w:before="320" w:after="120"/>
      <w:outlineLvl w:val="0"/>
    </w:pPr>
    <w:rPr>
      <w:rFonts w:asciiTheme="majorHAnsi" w:eastAsiaTheme="majorEastAsia" w:hAnsiTheme="majorHAnsi" w:cstheme="majorBidi" w:ascii="Didot" w:hAnsi="Didot"/>
      <w:color w:val="0F4761"/>
      <w:sz w:val="40"/>
      <w:szCs w:val="40"/>
    </w:rPr>
  </w:style>
  <w:style w:type="paragraph" w:styleId="Heading2">
    <w:name w:val="heading 2"/>
    <w:basedOn w:val="Normal"/>
    <w:next w:val="Normal"/>
    <w:link w:val="Heading2Char"/>
    <w:uiPriority w:val="9"/>
    <w:unhideWhenUsed/>
    <w:qFormat/>
    <w:rsid w:val="00BD1A61"/>
    <w:pPr>
      <w:keepNext/>
      <w:keepLines/>
      <w:spacing w:before="240" w:after="100"/>
      <w:outlineLvl w:val="1"/>
    </w:pPr>
    <w:rPr>
      <w:rFonts w:eastAsia="Times New Roman" w:cstheme="majorBidi" w:ascii="Didot" w:hAnsi="Didot"/>
      <w:b/>
      <w:bCs/>
      <w:color w:val="000000"/>
      <w:sz w:val="32"/>
      <w:szCs w:val="32"/>
    </w:rPr>
  </w:style>
  <w:style w:type="paragraph" w:styleId="Heading3">
    <w:name w:val="heading 3"/>
    <w:basedOn w:val="Normal"/>
    <w:next w:val="Normal"/>
    <w:link w:val="Heading3Char"/>
    <w:uiPriority w:val="9"/>
    <w:unhideWhenUsed/>
    <w:qFormat/>
    <w:rsid w:val="00BD1A61"/>
    <w:pPr>
      <w:keepNext/>
      <w:keepLines/>
      <w:spacing w:before="180" w:after="80"/>
      <w:outlineLvl w:val="2"/>
    </w:pPr>
    <w:rPr>
      <w:rFonts w:eastAsiaTheme="majorEastAsia" w:cstheme="majorBidi" w:ascii="Didot" w:hAnsi="Didot"/>
      <w:i/>
      <w:iCs/>
      <w:color w:val="000000"/>
      <w:sz w:val="26"/>
      <w:szCs w:val="28"/>
    </w:rPr>
  </w:style>
  <w:style w:type="paragraph" w:styleId="Heading4">
    <w:name w:val="heading 4"/>
    <w:basedOn w:val="Normal"/>
    <w:next w:val="Normal"/>
    <w:link w:val="Heading4Char"/>
    <w:uiPriority w:val="9"/>
    <w:semiHidden/>
    <w:unhideWhenUsed/>
    <w:qFormat/>
    <w:rsid w:val="00643E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E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E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1A61"/>
    <w:rPr>
      <w:rFonts w:eastAsia="Times New Roman" w:cstheme="majorBidi"/>
      <w:b/>
      <w:bCs/>
      <w:color w:val="000000" w:themeColor="text1"/>
      <w:sz w:val="32"/>
      <w:szCs w:val="32"/>
    </w:rPr>
  </w:style>
  <w:style w:type="character" w:customStyle="1" w:styleId="Heading3Char">
    <w:name w:val="Heading 3 Char"/>
    <w:basedOn w:val="DefaultParagraphFont"/>
    <w:link w:val="Heading3"/>
    <w:uiPriority w:val="9"/>
    <w:rsid w:val="00BD1A61"/>
    <w:rPr>
      <w:rFonts w:eastAsiaTheme="majorEastAsia" w:cstheme="majorBidi"/>
      <w:i/>
      <w:iCs/>
      <w:color w:val="000000" w:themeColor="text1"/>
      <w:sz w:val="28"/>
      <w:szCs w:val="28"/>
    </w:rPr>
  </w:style>
  <w:style w:type="character" w:customStyle="1" w:styleId="Heading4Char">
    <w:name w:val="Heading 4 Char"/>
    <w:basedOn w:val="DefaultParagraphFont"/>
    <w:link w:val="Heading4"/>
    <w:uiPriority w:val="9"/>
    <w:semiHidden/>
    <w:rsid w:val="00643E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E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E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EEF"/>
    <w:rPr>
      <w:rFonts w:eastAsiaTheme="majorEastAsia" w:cstheme="majorBidi"/>
      <w:color w:val="272727" w:themeColor="text1" w:themeTint="D8"/>
    </w:rPr>
  </w:style>
  <w:style w:type="paragraph" w:styleId="Title">
    <w:name w:val="Title"/>
    <w:basedOn w:val="Normal"/>
    <w:next w:val="Normal"/>
    <w:link w:val="TitleChar"/>
    <w:uiPriority w:val="10"/>
    <w:qFormat/>
    <w:rsid w:val="00643EEF"/>
    <w:pPr>
      <w:spacing w:after="160" w:line="240" w:lineRule="auto"/>
      <w:contextualSpacing/>
    </w:pPr>
    <w:rPr>
      <w:rFonts w:asciiTheme="majorHAnsi" w:eastAsiaTheme="majorEastAsia" w:hAnsiTheme="majorHAnsi" w:cstheme="majorBidi" w:ascii="Didot" w:hAnsi="Didot"/>
      <w:b/>
      <w:color w:val="0F4761"/>
      <w:spacing w:val="-10"/>
      <w:kern w:val="28"/>
      <w:sz w:val="60"/>
      <w:szCs w:val="56"/>
    </w:rPr>
  </w:style>
  <w:style w:type="character" w:customStyle="1" w:styleId="TitleChar">
    <w:name w:val="Title Char"/>
    <w:basedOn w:val="DefaultParagraphFont"/>
    <w:link w:val="Title"/>
    <w:uiPriority w:val="10"/>
    <w:rsid w:val="00643E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EEF"/>
    <w:pPr>
      <w:numPr>
        <w:ilvl w:val="1"/>
      </w:numPr>
    </w:pPr>
    <w:rPr>
      <w:rFonts w:eastAsiaTheme="majorEastAsia" w:cstheme="majorBidi" w:ascii="Didot" w:hAnsi="Didot"/>
      <w:color w:val="595959"/>
      <w:spacing w:val="15"/>
      <w:sz w:val="30"/>
      <w:szCs w:val="28"/>
    </w:rPr>
  </w:style>
  <w:style w:type="character" w:customStyle="1" w:styleId="SubtitleChar">
    <w:name w:val="Subtitle Char"/>
    <w:basedOn w:val="DefaultParagraphFont"/>
    <w:link w:val="Subtitle"/>
    <w:uiPriority w:val="11"/>
    <w:rsid w:val="00643E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EEF"/>
    <w:pPr>
      <w:spacing w:before="160"/>
      <w:jc w:val="center"/>
    </w:pPr>
    <w:rPr>
      <w:i/>
      <w:iCs/>
      <w:color w:val="404040" w:themeColor="text1" w:themeTint="BF"/>
    </w:rPr>
  </w:style>
  <w:style w:type="character" w:customStyle="1" w:styleId="QuoteChar">
    <w:name w:val="Quote Char"/>
    <w:basedOn w:val="DefaultParagraphFont"/>
    <w:link w:val="Quote"/>
    <w:uiPriority w:val="29"/>
    <w:rsid w:val="00643EEF"/>
    <w:rPr>
      <w:i/>
      <w:iCs/>
      <w:color w:val="404040" w:themeColor="text1" w:themeTint="BF"/>
    </w:rPr>
  </w:style>
  <w:style w:type="paragraph" w:styleId="ListParagraph">
    <w:name w:val="List Paragraph"/>
    <w:basedOn w:val="Normal"/>
    <w:uiPriority w:val="34"/>
    <w:qFormat/>
    <w:rsid w:val="00643EEF"/>
    <w:pPr>
      <w:ind w:left="720"/>
      <w:contextualSpacing/>
    </w:pPr>
  </w:style>
  <w:style w:type="character" w:styleId="IntenseEmphasis">
    <w:name w:val="Intense Emphasis"/>
    <w:basedOn w:val="DefaultParagraphFont"/>
    <w:uiPriority w:val="21"/>
    <w:qFormat/>
    <w:rsid w:val="00643EEF"/>
    <w:rPr>
      <w:i/>
      <w:iCs/>
      <w:color w:val="0F4761" w:themeColor="accent1" w:themeShade="BF"/>
    </w:rPr>
  </w:style>
  <w:style w:type="paragraph" w:styleId="IntenseQuote">
    <w:name w:val="Intense Quote"/>
    <w:basedOn w:val="Normal"/>
    <w:next w:val="Normal"/>
    <w:link w:val="IntenseQuoteChar"/>
    <w:uiPriority w:val="30"/>
    <w:qFormat/>
    <w:rsid w:val="00643EEF"/>
    <w:pPr>
      <w:pBdr>
        <w:top w:val="single" w:sz="4" w:space="10" w:color="0F4761" w:themeColor="accent1" w:themeShade="BF"/>
        <w:bottom w:val="single" w:sz="4" w:space="10" w:color="0F4761" w:themeColor="accent1" w:themeShade="BF"/>
      </w:pBdr>
      <w:spacing w:before="200" w:after="200"/>
      <w:ind w:left="504" w:right="504"/>
      <w:jc w:val="center"/>
    </w:pPr>
    <w:rPr>
      <w:rFonts w:ascii="Didot" w:hAnsi="Didot"/>
      <w:i/>
      <w:iCs/>
      <w:color w:val="0F4761"/>
      <w:sz w:val="24"/>
    </w:rPr>
  </w:style>
  <w:style w:type="character" w:customStyle="1" w:styleId="IntenseQuoteChar">
    <w:name w:val="Intense Quote Char"/>
    <w:basedOn w:val="DefaultParagraphFont"/>
    <w:link w:val="IntenseQuote"/>
    <w:uiPriority w:val="30"/>
    <w:rsid w:val="00643EEF"/>
    <w:rPr>
      <w:i/>
      <w:iCs/>
      <w:color w:val="0F4761" w:themeColor="accent1" w:themeShade="BF"/>
    </w:rPr>
  </w:style>
  <w:style w:type="character" w:styleId="IntenseReference">
    <w:name w:val="Intense Reference"/>
    <w:basedOn w:val="DefaultParagraphFont"/>
    <w:uiPriority w:val="32"/>
    <w:qFormat/>
    <w:rsid w:val="00643EEF"/>
    <w:rPr>
      <w:b/>
      <w:bCs/>
      <w:smallCaps/>
      <w:color w:val="0F4761" w:themeColor="accent1" w:themeShade="BF"/>
      <w:spacing w:val="5"/>
    </w:rPr>
  </w:style>
  <w:style w:type="paragraph" w:customStyle="1" w:styleId="font-claude-response-body">
    <w:name w:val="font-claude-response-body"/>
    <w:basedOn w:val="Normal"/>
    <w:rsid w:val="00643EE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43EEF"/>
    <w:rPr>
      <w:i/>
      <w:iCs/>
    </w:rPr>
  </w:style>
  <w:style w:type="character" w:styleId="Strong">
    <w:name w:val="Strong"/>
    <w:basedOn w:val="DefaultParagraphFont"/>
    <w:uiPriority w:val="22"/>
    <w:qFormat/>
    <w:rsid w:val="001D5025"/>
    <w:rPr>
      <w:b/>
      <w:bCs/>
    </w:rPr>
  </w:style>
  <w:style w:type="paragraph" w:styleId="TOC1">
    <w:name w:val="toc 1"/>
    <w:basedOn w:val="Normal"/>
    <w:next w:val="Normal"/>
    <w:autoRedefine/>
    <w:uiPriority w:val="39"/>
    <w:unhideWhenUsed/>
    <w:rsid w:val="00180225"/>
    <w:pPr>
      <w:spacing w:before="120" w:after="0"/>
    </w:pPr>
    <w:rPr>
      <w:b/>
      <w:bCs/>
      <w:i/>
      <w:iCs/>
    </w:rPr>
  </w:style>
  <w:style w:type="paragraph" w:styleId="TOC2">
    <w:name w:val="toc 2"/>
    <w:basedOn w:val="Normal"/>
    <w:next w:val="Normal"/>
    <w:autoRedefine/>
    <w:uiPriority w:val="39"/>
    <w:unhideWhenUsed/>
    <w:rsid w:val="00180225"/>
    <w:pPr>
      <w:spacing w:before="120" w:after="0"/>
      <w:ind w:left="240"/>
    </w:pPr>
    <w:rPr>
      <w:b/>
      <w:bCs/>
      <w:sz w:val="22"/>
      <w:szCs w:val="22"/>
    </w:rPr>
  </w:style>
  <w:style w:type="paragraph" w:styleId="TOC3">
    <w:name w:val="toc 3"/>
    <w:basedOn w:val="Normal"/>
    <w:next w:val="Normal"/>
    <w:autoRedefine/>
    <w:uiPriority w:val="39"/>
    <w:unhideWhenUsed/>
    <w:rsid w:val="00180225"/>
    <w:pPr>
      <w:spacing w:after="0"/>
      <w:ind w:left="480"/>
    </w:pPr>
    <w:rPr>
      <w:sz w:val="20"/>
      <w:szCs w:val="20"/>
    </w:rPr>
  </w:style>
  <w:style w:type="paragraph" w:styleId="TOC4">
    <w:name w:val="toc 4"/>
    <w:basedOn w:val="Normal"/>
    <w:next w:val="Normal"/>
    <w:autoRedefine/>
    <w:uiPriority w:val="39"/>
    <w:unhideWhenUsed/>
    <w:rsid w:val="00180225"/>
    <w:pPr>
      <w:spacing w:after="0"/>
      <w:ind w:left="720"/>
    </w:pPr>
    <w:rPr>
      <w:sz w:val="20"/>
      <w:szCs w:val="20"/>
    </w:rPr>
  </w:style>
  <w:style w:type="paragraph" w:styleId="TOC5">
    <w:name w:val="toc 5"/>
    <w:basedOn w:val="Normal"/>
    <w:next w:val="Normal"/>
    <w:autoRedefine/>
    <w:uiPriority w:val="39"/>
    <w:unhideWhenUsed/>
    <w:rsid w:val="00180225"/>
    <w:pPr>
      <w:spacing w:after="0"/>
      <w:ind w:left="960"/>
    </w:pPr>
    <w:rPr>
      <w:sz w:val="20"/>
      <w:szCs w:val="20"/>
    </w:rPr>
  </w:style>
  <w:style w:type="paragraph" w:styleId="TOC6">
    <w:name w:val="toc 6"/>
    <w:basedOn w:val="Normal"/>
    <w:next w:val="Normal"/>
    <w:autoRedefine/>
    <w:uiPriority w:val="39"/>
    <w:unhideWhenUsed/>
    <w:rsid w:val="00180225"/>
    <w:pPr>
      <w:spacing w:after="0"/>
      <w:ind w:left="1200"/>
    </w:pPr>
    <w:rPr>
      <w:sz w:val="20"/>
      <w:szCs w:val="20"/>
    </w:rPr>
  </w:style>
  <w:style w:type="paragraph" w:styleId="TOC7">
    <w:name w:val="toc 7"/>
    <w:basedOn w:val="Normal"/>
    <w:next w:val="Normal"/>
    <w:autoRedefine/>
    <w:uiPriority w:val="39"/>
    <w:unhideWhenUsed/>
    <w:rsid w:val="00180225"/>
    <w:pPr>
      <w:spacing w:after="0"/>
      <w:ind w:left="1440"/>
    </w:pPr>
    <w:rPr>
      <w:sz w:val="20"/>
      <w:szCs w:val="20"/>
    </w:rPr>
  </w:style>
  <w:style w:type="paragraph" w:styleId="TOC8">
    <w:name w:val="toc 8"/>
    <w:basedOn w:val="Normal"/>
    <w:next w:val="Normal"/>
    <w:autoRedefine/>
    <w:uiPriority w:val="39"/>
    <w:unhideWhenUsed/>
    <w:rsid w:val="00180225"/>
    <w:pPr>
      <w:spacing w:after="0"/>
      <w:ind w:left="1680"/>
    </w:pPr>
    <w:rPr>
      <w:sz w:val="20"/>
      <w:szCs w:val="20"/>
    </w:rPr>
  </w:style>
  <w:style w:type="paragraph" w:styleId="TOC9">
    <w:name w:val="toc 9"/>
    <w:basedOn w:val="Normal"/>
    <w:next w:val="Normal"/>
    <w:autoRedefine/>
    <w:uiPriority w:val="39"/>
    <w:unhideWhenUsed/>
    <w:rsid w:val="00180225"/>
    <w:pPr>
      <w:spacing w:after="0"/>
      <w:ind w:left="1920"/>
    </w:pPr>
    <w:rPr>
      <w:sz w:val="20"/>
      <w:szCs w:val="20"/>
    </w:rPr>
  </w:style>
  <w:style w:type="character" w:styleId="Hyperlink">
    <w:name w:val="Hyperlink"/>
    <w:basedOn w:val="DefaultParagraphFont"/>
    <w:uiPriority w:val="99"/>
    <w:unhideWhenUsed/>
    <w:rsid w:val="00180225"/>
    <w:rPr>
      <w:color w:val="467886" w:themeColor="hyperlink"/>
      <w:u w:val="single"/>
    </w:rPr>
  </w:style>
  <w:style w:type="paragraph" w:styleId="FootnoteText">
    <w:name w:val="footnote text"/>
    <w:basedOn w:val="Normal"/>
    <w:link w:val="FootnoteTextChar"/>
    <w:uiPriority w:val="99"/>
    <w:semiHidden/>
    <w:unhideWhenUsed/>
    <w:rsid w:val="00262EC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62EC7"/>
    <w:rPr>
      <w:sz w:val="20"/>
      <w:szCs w:val="20"/>
    </w:rPr>
  </w:style>
  <w:style w:type="character" w:styleId="FootnoteReference">
    <w:name w:val="footnote reference"/>
    <w:basedOn w:val="DefaultParagraphFont"/>
    <w:uiPriority w:val="99"/>
    <w:semiHidden/>
    <w:unhideWhenUsed/>
    <w:rsid w:val="00262EC7"/>
    <w:rPr>
      <w:vertAlign w:val="superscript"/>
    </w:rPr>
  </w:style>
  <w:style w:type="character" w:styleId="SubtleReference">
    <w:name w:val="Subtle Reference"/>
    <w:basedOn w:val="DefaultParagraphFont"/>
    <w:uiPriority w:val="31"/>
    <w:qFormat/>
    <w:rsid w:val="00BD1A61"/>
    <w:rPr>
      <w:smallCaps/>
      <w:color w:val="5A5A5A" w:themeColor="text1" w:themeTint="A5"/>
    </w:rPr>
  </w:style>
  <w:style w:type="paragraph" w:styleId="Header">
    <w:name w:val="header"/>
    <w:basedOn w:val="Normal"/>
    <w:link w:val="HeaderChar"/>
    <w:uiPriority w:val="99"/>
    <w:unhideWhenUsed/>
    <w:rsid w:val="00BD4B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4B9F"/>
  </w:style>
  <w:style w:type="paragraph" w:styleId="Footer">
    <w:name w:val="footer"/>
    <w:basedOn w:val="Normal"/>
    <w:link w:val="FooterChar"/>
    <w:uiPriority w:val="99"/>
    <w:unhideWhenUsed/>
    <w:rsid w:val="00BD4B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4B9F"/>
  </w:style>
  <w:style w:type="character" w:styleId="PageNumber">
    <w:name w:val="page number"/>
    <w:basedOn w:val="DefaultParagraphFont"/>
    <w:uiPriority w:val="99"/>
    <w:semiHidden/>
    <w:unhideWhenUsed/>
    <w:rsid w:val="00BD4B9F"/>
  </w:style>
  <w:style w:type="character" w:styleId="UnresolvedMention">
    <w:name w:val="Unresolved Mention"/>
    <w:basedOn w:val="DefaultParagraphFont"/>
    <w:uiPriority w:val="99"/>
    <w:semiHidden/>
    <w:unhideWhenUsed/>
    <w:rsid w:val="00A513F2"/>
    <w:rPr>
      <w:color w:val="605E5C"/>
      <w:shd w:val="clear" w:color="auto" w:fill="E1DFDD"/>
    </w:rPr>
  </w:style>
  <w:style w:type="character" w:styleId="CommentReference">
    <w:name w:val="annotation reference"/>
    <w:basedOn w:val="DefaultParagraphFont"/>
    <w:uiPriority w:val="99"/>
    <w:semiHidden/>
    <w:unhideWhenUsed/>
    <w:rsid w:val="007F3E2C"/>
    <w:rPr>
      <w:sz w:val="16"/>
      <w:szCs w:val="16"/>
    </w:rPr>
  </w:style>
  <w:style w:type="paragraph" w:styleId="CommentText">
    <w:name w:val="annotation text"/>
    <w:basedOn w:val="Normal"/>
    <w:link w:val="CommentTextChar"/>
    <w:uiPriority w:val="99"/>
    <w:semiHidden/>
    <w:unhideWhenUsed/>
    <w:rsid w:val="007F3E2C"/>
    <w:pPr>
      <w:spacing w:line="240" w:lineRule="auto"/>
    </w:pPr>
    <w:rPr>
      <w:sz w:val="20"/>
      <w:szCs w:val="20"/>
    </w:rPr>
  </w:style>
  <w:style w:type="character" w:customStyle="1" w:styleId="CommentTextChar">
    <w:name w:val="Comment Text Char"/>
    <w:basedOn w:val="DefaultParagraphFont"/>
    <w:link w:val="CommentText"/>
    <w:uiPriority w:val="99"/>
    <w:semiHidden/>
    <w:rsid w:val="007F3E2C"/>
    <w:rPr>
      <w:sz w:val="20"/>
      <w:szCs w:val="20"/>
    </w:rPr>
  </w:style>
  <w:style w:type="paragraph" w:styleId="CommentSubject">
    <w:name w:val="annotation subject"/>
    <w:basedOn w:val="CommentText"/>
    <w:next w:val="CommentText"/>
    <w:link w:val="CommentSubjectChar"/>
    <w:uiPriority w:val="99"/>
    <w:semiHidden/>
    <w:unhideWhenUsed/>
    <w:rsid w:val="007F3E2C"/>
    <w:rPr>
      <w:b/>
      <w:bCs/>
    </w:rPr>
  </w:style>
  <w:style w:type="character" w:customStyle="1" w:styleId="CommentSubjectChar">
    <w:name w:val="Comment Subject Char"/>
    <w:basedOn w:val="CommentTextChar"/>
    <w:link w:val="CommentSubject"/>
    <w:uiPriority w:val="99"/>
    <w:semiHidden/>
    <w:rsid w:val="007F3E2C"/>
    <w:rPr>
      <w:b/>
      <w:bCs/>
      <w:sz w:val="20"/>
      <w:szCs w:val="20"/>
    </w:rPr>
  </w:style>
  <w:style w:type="character" w:customStyle="1" w:styleId="reference-text">
    <w:name w:val="reference-text"/>
    <w:basedOn w:val="DefaultParagraphFont"/>
    <w:rsid w:val="009E237E"/>
  </w:style>
  <w:style w:type="character" w:styleId="FollowedHyperlink">
    <w:name w:val="FollowedHyperlink"/>
    <w:basedOn w:val="DefaultParagraphFont"/>
    <w:uiPriority w:val="99"/>
    <w:semiHidden/>
    <w:unhideWhenUsed/>
    <w:rsid w:val="009E237E"/>
    <w:rPr>
      <w:color w:val="96607D" w:themeColor="followedHyperlink"/>
      <w:u w:val="single"/>
    </w:rPr>
  </w:style>
  <w:style w:type="paragraph" w:styleId="Revision">
    <w:name w:val="Revision"/>
    <w:hidden/>
    <w:uiPriority w:val="99"/>
    <w:semiHidden/>
    <w:rsid w:val="003060DF"/>
    <w:pPr>
      <w:spacing w:after="0" w:line="240" w:lineRule="auto"/>
    </w:pPr>
  </w:style>
  <w:style w:type="paragraph" w:styleId="NormalWeb">
    <w:name w:val="Normal (Web)"/>
    <w:basedOn w:val="Normal"/>
    <w:uiPriority w:val="99"/>
    <w:unhideWhenUsed/>
    <w:rsid w:val="00A1634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phil/Library/Containers/com.microsoft.Word/Data/Library/Preferences/AutoRecovery/galinsky2028.us/contact"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file:///Users/phil/Library/Containers/com.microsoft.Word/Data/Library/Preferences/AutoRecovery/galinsky2028.us/issues"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 Id="rId16"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44</Pages>
  <Words>14015</Words>
  <Characters>71901</Characters>
  <Application>Microsoft Office Word</Application>
  <DocSecurity>0</DocSecurity>
  <Lines>1198</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Galinsky</dc:creator>
  <cp:keywords/>
  <dc:description/>
  <cp:lastModifiedBy>Phillip Galinsky</cp:lastModifiedBy>
  <cp:revision>3</cp:revision>
  <cp:lastPrinted>2026-06-28T15:09:00Z</cp:lastPrinted>
  <dcterms:created xsi:type="dcterms:W3CDTF">2026-07-10T00:36:00Z</dcterms:created>
  <dcterms:modified xsi:type="dcterms:W3CDTF">2026-08-28T20:35:00Z</dcterms:modified>
</cp:coreProperties>
</file>