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Cornerstone Displacement Event Census</w:t>
      </w:r>
    </w:p>
    <w:p>
      <w:pPr>
        <w:pStyle w:val="Subtitle"/>
      </w:pPr>
      <w:r>
        <w:t>Substantial starting register  |  28 September 2026</w:t>
      </w:r>
    </w:p>
    <w:p>
      <w:r>
        <w:t>These are government actions that pursued a benefit for the public as a whole while placing a material cost on a smaller, existing trade or group. For a state or local action, the relevant public is that jurisdiction's community. The burden can be lost work, an ended product or harvest market, a forced change in established operations, or another material livelihood effect; it need not be a proven layoff or the complete end of a person's career. This is a substantial starting point, not a claim to have found every such event.</w:t>
      </w:r>
    </w:p>
    <w:p>
      <w:r>
        <w:t>Every item below clears that event-level screen. The plain-language explanation comes first, followed by its screening disposition and the more detailed record. Later work can measure a particular worksite or occupation group's losses, assess competing causes and prepare certification files. Inclusion here does not establish that every worker or firm in an industry was harmed, and this document does not advocate for particular people.</w:t>
      </w:r>
    </w:p>
    <w:p>
      <w:r>
        <w:t>The list is open. An unlisted action or affected group may qualify under the same rule, regardless of industry, jurisdiction, period, or resemblance to these examples. A person can lose a principal job and suffer a material loss while still holding another job. A petition must be decided by the rule and its evidence, never by whether the event already appears in this register.</w:t>
      </w:r>
    </w:p>
    <w:p>
      <w:r>
        <w:t>Stable IDs preserve links to the evidence spreadsheet; missing numbers reflect research leads that did not clear this screen. The salmon seasons are separate government actions. The citation audit distinguishes reopened anchors, corrected links and sources whose direct text still requires verification; a source check does not prove a particular worksite loss.</w:t>
      </w:r>
    </w:p>
    <w:p>
      <w:pPr>
        <w:pStyle w:val="Heading1"/>
      </w:pPr>
      <w:r>
        <w:t>Constitutional note on emancipation claims</w:t>
      </w:r>
    </w:p>
    <w:p>
      <w:r>
        <w:t>The event screen and Cornerstone eligibility rule remain unchanged. Section 4 of the Fourteenth Amendment separately prohibits the United States and every state from paying any claim for the loss or emancipation of an enslaved person, and declares such claims illegal and void. That constitutional limit resolves a claim for compensation arising from emancipation regardless of the former owner's loyalty or state of residence; no additional Cornerstone exclusion is needed.</w:t>
      </w:r>
    </w:p>
    <w:p>
      <w:pPr/>
      <w:r>
        <w:rPr>
          <w:b/>
        </w:rPr>
        <w:t xml:space="preserve">Source.  </w:t>
      </w:r>
      <w:hyperlink r:id="rId11">
        <w:r>
          <w:rPr>
            <w:color w:val="185B83"/>
            <w:u w:val="single"/>
          </w:rPr>
          <w:t>Fourteenth Amendment Section 4 (National Archives)</w:t>
        </w:r>
      </w:hyperlink>
      <w:r>
        <w:t>.</w:t>
      </w:r>
    </w:p>
    <w:p>
      <w:pPr>
        <w:pStyle w:val="Heading1"/>
      </w:pPr>
      <w:r>
        <w:t>Coverage assessment and remaining verification</w:t>
      </w:r>
    </w:p>
    <w:p>
      <w:r>
        <w:t>An official GAO inventory of 73 named major 1988–1995 BRAC sites with estimated civilian job losses is represented with exact decision rounds. The register names 18 of 23 major installations actually closed in the 2005 round where a baseline workforce projection or other group record supports a material effect; the other five need further causation review. Some smaller and separately authorized closures are also included, but their universe is not enumerated. GAO found no aggregate count adequate to measure the business and household effects of eminent-domain redevelopment. Many other jurisdiction and period inventories remain open.</w:t>
      </w:r>
    </w:p>
    <w:p>
      <w:r>
        <w:t>The continuous register has 231 qualifying event-level entries after six supplemental sweeps. Every retained row has a plain-language rule explanation and at least one linked source, but the independent holdout found additional obvious historical examples. It is a substantial open starting point, not an estimated majority or a closed category list. The principal remaining research is a bounded inventory of smaller BRAC actions, seasonal fishery orders, state/local bans, public project takings and site-level affected groups, with separate accounting for competing causes and past compensation.</w:t>
      </w:r>
    </w:p>
    <w:p>
      <w:pPr/>
      <w:r>
        <w:rPr>
          <w:b/>
        </w:rPr>
        <w:t xml:space="preserve">Coverage sources.  </w:t>
      </w:r>
      <w:hyperlink r:id="rId12">
        <w:r>
          <w:rPr>
            <w:color w:val="185B83"/>
            <w:u w:val="single"/>
          </w:rPr>
          <w:t>GAO major BRAC sites and job estimates</w:t>
        </w:r>
      </w:hyperlink>
      <w:r>
        <w:t xml:space="preserve">; </w:t>
      </w:r>
      <w:hyperlink r:id="rId13">
        <w:r>
          <w:rPr>
            <w:color w:val="185B83"/>
            <w:u w:val="single"/>
          </w:rPr>
          <w:t>GAO on eminent-domain data limits</w:t>
        </w:r>
      </w:hyperlink>
      <w:r>
        <w:t>.</w:t>
      </w:r>
    </w:p>
    <w:p>
      <w:r>
        <w:t>Keep this register open to newly identified actions and affected groups under the same material-effect rule. For a future coverage percentage, define a counting unit and a bounded jurisdiction and period; enumerate official action inventories, deduplicate, and independently check omissions. Group and worksite evidence must also separate the government's action from competing causes, transfers, redevelopment work and existing compensation.</w:t>
      </w:r>
    </w:p>
    <w:p>
      <w:pPr>
        <w:pStyle w:val="Heading1"/>
      </w:pPr>
      <w:r>
        <w:t>Event records</w:t>
      </w:r>
    </w:p>
    <w:p>
      <w:pPr>
        <w:pStyle w:val="Heading2"/>
      </w:pPr>
      <w:r>
        <w:t>C-001  National Prohibition</w:t>
      </w:r>
    </w:p>
    <w:p>
      <w:pPr>
        <w:keepNext/>
        <w:keepLines/>
      </w:pPr>
      <w:r>
        <w:rPr>
          <w:b/>
        </w:rPr>
        <w:t xml:space="preserve">Why this qualifies.  </w:t>
      </w:r>
      <w:r>
        <w:t>National Prohibition pursued a nationwide temperance policy by outlawing ordinary liquor manufacture and sale, materially ending legal trade for existing producers and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1919–1933 | Eighteenth Amendment and National Prohibition Act. Manufacture, sale and transport of intoxicating liquor were prohibited; repeal followed in 1933.</w:t>
      </w:r>
    </w:p>
    <w:p>
      <w:pPr>
        <w:keepLines/>
      </w:pPr>
      <w:r>
        <w:rPr>
          <w:b/>
        </w:rPr>
        <w:t xml:space="preserve">Worksite and group record.  </w:t>
      </w:r>
      <w:r>
        <w:t>Historical brewery, distillery and trade records, no group separation file.</w:t>
      </w:r>
    </w:p>
    <w:p>
      <w:pPr>
        <w:keepLines/>
      </w:pPr>
      <w:r>
        <w:rPr>
          <w:b/>
        </w:rPr>
        <w:t xml:space="preserve">Causation and legal limits.  </w:t>
      </w:r>
      <w:r>
        <w:t>Earlier state dry laws, later repeal and lawful exceptions require occupational timing.</w:t>
      </w:r>
    </w:p>
    <w:p>
      <w:pPr>
        <w:keepLines/>
      </w:pPr>
      <w:r>
        <w:rPr>
          <w:b/>
        </w:rPr>
        <w:t xml:space="preserve">Further event evidence.  </w:t>
      </w:r>
      <w:r>
        <w:t>Locate affected breweries, distilleries and trade establishments, their staffing, and a separation period attributable to national rather than earlier state prohibition.</w:t>
      </w:r>
    </w:p>
    <w:p>
      <w:pPr>
        <w:keepLines/>
        <w:spacing w:after="120"/>
      </w:pPr>
      <w:r>
        <w:rPr>
          <w:b/>
        </w:rPr>
        <w:t xml:space="preserve">Sources and citation check.  </w:t>
      </w:r>
      <w:hyperlink r:id="rId14">
        <w:r>
          <w:rPr>
            <w:color w:val="185B83"/>
            <w:u w:val="single"/>
          </w:rPr>
          <w:t>Eighteenth Amendment and National Prohibition Act (archives.gov)</w:t>
        </w:r>
      </w:hyperlink>
      <w:r>
        <w:t xml:space="preserve">.  </w:t>
      </w:r>
      <w:r>
        <w:t>Pass 2 source anchor reopened; action and scope reviewed at event level. This does not verify an individual worksite loss.</w:t>
      </w:r>
    </w:p>
    <w:p>
      <w:pPr>
        <w:pStyle w:val="Heading2"/>
      </w:pPr>
      <w:r>
        <w:t>C-002  Texas horse slaughter</w:t>
      </w:r>
    </w:p>
    <w:p>
      <w:pPr>
        <w:keepNext/>
        <w:keepLines/>
      </w:pPr>
      <w:r>
        <w:rPr>
          <w:b/>
        </w:rPr>
        <w:t xml:space="preserve">Why this qualifies.  </w:t>
      </w:r>
      <w:r>
        <w:t>Texas enforced its horse-slaughter prohibition for animal-welfare purposes, removing the legal business of existing slaughter plants and their employees.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Texas | 2007 enforcement ruling | Texas Agriculture Code ch. 149; Empacadora de Carnes v. Curry. Existing Texas prohibition became enforceable against Beltex and Dallas Crown after the Fifth Circuit reversed an injunction.</w:t>
      </w:r>
    </w:p>
    <w:p>
      <w:pPr>
        <w:keepLines/>
      </w:pPr>
      <w:r>
        <w:rPr>
          <w:b/>
        </w:rPr>
        <w:t xml:space="preserve">Worksite and group record.  </w:t>
      </w:r>
      <w:r>
        <w:t>Two named Texas slaughterhouse companies in the opinion; employee records absent.</w:t>
      </w:r>
    </w:p>
    <w:p>
      <w:pPr>
        <w:keepLines/>
      </w:pPr>
      <w:r>
        <w:rPr>
          <w:b/>
        </w:rPr>
        <w:t xml:space="preserve">Causation and legal limits.  </w:t>
      </w:r>
      <w:r>
        <w:t>Do not call the law newly enacted in 2007; plant-specific separation and competing causes need proof.</w:t>
      </w:r>
    </w:p>
    <w:p>
      <w:pPr>
        <w:keepLines/>
      </w:pPr>
      <w:r>
        <w:rPr>
          <w:b/>
        </w:rPr>
        <w:t xml:space="preserve">Further event evidence.  </w:t>
      </w:r>
      <w:r>
        <w:t>Obtain Beltex and Dallas Crown worksite rosters and closure dates; separate the earlier Texas law from the 2007 enforcement change.</w:t>
      </w:r>
    </w:p>
    <w:p>
      <w:pPr>
        <w:keepLines/>
        <w:spacing w:after="120"/>
      </w:pPr>
      <w:r>
        <w:rPr>
          <w:b/>
        </w:rPr>
        <w:t xml:space="preserve">Sources and citation check.  </w:t>
      </w:r>
      <w:hyperlink r:id="rId15">
        <w:r>
          <w:rPr>
            <w:color w:val="185B83"/>
            <w:u w:val="single"/>
          </w:rPr>
          <w:t>Texas Agriculture Code ch. 149; Empacadora de Carnes v. Curry (statutes.capitol.texas.gov)</w:t>
        </w:r>
      </w:hyperlink>
      <w:r>
        <w:t xml:space="preserve">; </w:t>
      </w:r>
      <w:hyperlink r:id="rId16">
        <w:r>
          <w:rPr>
            <w:color w:val="185B83"/>
            <w:u w:val="single"/>
          </w:rPr>
          <w:t>Additional legal or source record (ca5.uscourts.gov)</w:t>
        </w:r>
      </w:hyperlink>
      <w:r>
        <w:t xml:space="preserve">.  </w:t>
      </w:r>
      <w:r>
        <w:t>Pass 2 source anchor reopened; action and scope reviewed at event level. This does not verify an individual worksite loss.</w:t>
      </w:r>
    </w:p>
    <w:p>
      <w:pPr>
        <w:pStyle w:val="Heading2"/>
      </w:pPr>
      <w:r>
        <w:t>C-003  Illinois horse slaughter</w:t>
      </w:r>
    </w:p>
    <w:p>
      <w:pPr>
        <w:keepNext/>
        <w:keepLines/>
      </w:pPr>
      <w:r>
        <w:rPr>
          <w:b/>
        </w:rPr>
        <w:t xml:space="preserve">Why this qualifies.  </w:t>
      </w:r>
      <w:r>
        <w:t>Illinois banned horse slaughter for human consumption to advance animal welfare, directly ending the covered line at an existing plant.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Illinois | 2007 | Public Act 95-0002, Illinois Horse Meat Act §1.5. Express prohibition on slaughter and horsemeat for human consumption.</w:t>
      </w:r>
    </w:p>
    <w:p>
      <w:pPr>
        <w:keepLines/>
      </w:pPr>
      <w:r>
        <w:rPr>
          <w:b/>
        </w:rPr>
        <w:t xml:space="preserve">Worksite and group record.  </w:t>
      </w:r>
      <w:r>
        <w:t>Cavel International plant named in litigation; no payroll in census.</w:t>
      </w:r>
    </w:p>
    <w:p>
      <w:pPr>
        <w:keepLines/>
      </w:pPr>
      <w:r>
        <w:rPr>
          <w:b/>
        </w:rPr>
        <w:t xml:space="preserve">Causation and legal limits.  </w:t>
      </w:r>
      <w:r>
        <w:t>Other animal processing lawful; quantify dedicated workers and closure date.</w:t>
      </w:r>
    </w:p>
    <w:p>
      <w:pPr>
        <w:keepLines/>
      </w:pPr>
      <w:r>
        <w:rPr>
          <w:b/>
        </w:rPr>
        <w:t xml:space="preserve">Further event evidence.  </w:t>
      </w:r>
      <w:r>
        <w:t>Obtain Cavel staffing and closure records, then define the dedicated horse-slaughter group and the statutory causal period.</w:t>
      </w:r>
    </w:p>
    <w:p>
      <w:pPr>
        <w:keepLines/>
        <w:spacing w:after="120"/>
      </w:pPr>
      <w:r>
        <w:rPr>
          <w:b/>
        </w:rPr>
        <w:t xml:space="preserve">Sources and citation check.  </w:t>
      </w:r>
      <w:hyperlink r:id="rId17">
        <w:r>
          <w:rPr>
            <w:color w:val="185B83"/>
            <w:u w:val="single"/>
          </w:rPr>
          <w:t>Public Act 95-0002, Illinois Horse Meat Act §1.5 (ilga.gov)</w:t>
        </w:r>
      </w:hyperlink>
      <w:r>
        <w:t xml:space="preserve">; </w:t>
      </w:r>
      <w:hyperlink r:id="rId18">
        <w:r>
          <w:rPr>
            <w:color w:val="185B83"/>
            <w:u w:val="single"/>
          </w:rPr>
          <w:t>Additional legal or source record (law.justia.com)</w:t>
        </w:r>
      </w:hyperlink>
      <w:r>
        <w:t xml:space="preserve">.  </w:t>
      </w:r>
      <w:r>
        <w:t>Pass 2: replaced failing Illinois page with enacted Public Act 95-0002. It bans horse slaughter for human consumption; the plant impact is separately documented.</w:t>
      </w:r>
    </w:p>
    <w:p>
      <w:pPr>
        <w:pStyle w:val="Heading2"/>
      </w:pPr>
      <w:r>
        <w:t>C-004  Florida gill-net ban</w:t>
      </w:r>
    </w:p>
    <w:p>
      <w:pPr>
        <w:keepNext/>
        <w:keepLines/>
      </w:pPr>
      <w:r>
        <w:rPr>
          <w:b/>
        </w:rPr>
        <w:t xml:space="preserve">Why this qualifies.  </w:t>
      </w:r>
      <w:r>
        <w:t>Florida protected marine life by banning established inshore net methods, materially limiting the work of fishers who used that gear.</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Florida | 1994 adoption; 1995 effect | Florida Constitution art. X §16. Inshore entangling nets and large nets prohibited in Florida waters.</w:t>
      </w:r>
    </w:p>
    <w:p>
      <w:pPr>
        <w:keepLines/>
      </w:pPr>
      <w:r>
        <w:rPr>
          <w:b/>
        </w:rPr>
        <w:t xml:space="preserve">Worksite and group record.  </w:t>
      </w:r>
      <w:r>
        <w:t>License and landings files required by vessel; none transcribed.</w:t>
      </w:r>
    </w:p>
    <w:p>
      <w:pPr>
        <w:keepLines/>
      </w:pPr>
      <w:r>
        <w:rPr>
          <w:b/>
        </w:rPr>
        <w:t xml:space="preserve">Causation and legal limits.  </w:t>
      </w:r>
      <w:r>
        <w:t>Gear substitution and prior stock decline prevent a blanket fisher class.</w:t>
      </w:r>
    </w:p>
    <w:p>
      <w:pPr>
        <w:keepLines/>
      </w:pPr>
      <w:r>
        <w:rPr>
          <w:b/>
        </w:rPr>
        <w:t xml:space="preserve">Further event evidence.  </w:t>
      </w:r>
      <w:r>
        <w:t>Map licensed fishing vessels, crew and landings across the constitutional ban; test gear substitution and earlier declines.</w:t>
      </w:r>
    </w:p>
    <w:p>
      <w:pPr>
        <w:keepLines/>
        <w:spacing w:after="120"/>
      </w:pPr>
      <w:r>
        <w:rPr>
          <w:b/>
        </w:rPr>
        <w:t xml:space="preserve">Sources and citation check.  </w:t>
      </w:r>
      <w:hyperlink r:id="rId19">
        <w:r>
          <w:rPr>
            <w:color w:val="185B83"/>
            <w:u w:val="single"/>
          </w:rPr>
          <w:t>Florida Constitution art. X §16 (flsenate.gov)</w:t>
        </w:r>
      </w:hyperlink>
      <w:r>
        <w:t xml:space="preserve">.  </w:t>
      </w:r>
      <w:r>
        <w:t>Pass 2 source anchor reopened; action and scope reviewed at event level. This does not verify an individual worksite loss.</w:t>
      </w:r>
    </w:p>
    <w:p>
      <w:pPr>
        <w:pStyle w:val="Heading2"/>
      </w:pPr>
      <w:r>
        <w:t>C-005  Florida greyhound racing</w:t>
      </w:r>
    </w:p>
    <w:p>
      <w:pPr>
        <w:keepNext/>
        <w:keepLines/>
      </w:pPr>
      <w:r>
        <w:rPr>
          <w:b/>
        </w:rPr>
        <w:t xml:space="preserve">Why this qualifies.  </w:t>
      </w:r>
      <w:r>
        <w:t>Florida ended live greyhound racing in the public interest, removing the core work of existing tracks, kennels and racing staff.</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Florida | 2018 adoption; 2021 effect | Florida Constitution art. X §32. After December 31, 2020, live dog racing with wagers in Florida prohibited.</w:t>
      </w:r>
    </w:p>
    <w:p>
      <w:pPr>
        <w:keepLines/>
      </w:pPr>
      <w:r>
        <w:rPr>
          <w:b/>
        </w:rPr>
        <w:t xml:space="preserve">Worksite and group record.  </w:t>
      </w:r>
      <w:r>
        <w:t>Christopher D’Arcy and D’Arcy Kennel named in a state appeal; other operators in Eleventh Circuit record.</w:t>
      </w:r>
    </w:p>
    <w:p>
      <w:pPr>
        <w:keepLines/>
      </w:pPr>
      <w:r>
        <w:rPr>
          <w:b/>
        </w:rPr>
        <w:t xml:space="preserve">Causation and legal limits.  </w:t>
      </w:r>
      <w:r>
        <w:t>Property takings suit failed; worksite staffing and actual group separation still unproven.</w:t>
      </w:r>
    </w:p>
    <w:p>
      <w:pPr>
        <w:keepLines/>
      </w:pPr>
      <w:r>
        <w:rPr>
          <w:b/>
        </w:rPr>
        <w:t xml:space="preserve">Further event evidence.  </w:t>
      </w:r>
      <w:r>
        <w:t>Identify covered tracks and kennels, staffing before and after the racing cutoff, and group separations caused by the amendment.</w:t>
      </w:r>
    </w:p>
    <w:p>
      <w:pPr>
        <w:keepLines/>
        <w:spacing w:after="120"/>
      </w:pPr>
      <w:r>
        <w:rPr>
          <w:b/>
        </w:rPr>
        <w:t xml:space="preserve">Sources and citation check.  </w:t>
      </w:r>
      <w:hyperlink r:id="rId19">
        <w:r>
          <w:rPr>
            <w:color w:val="185B83"/>
            <w:u w:val="single"/>
          </w:rPr>
          <w:t>Florida Constitution art. X §32 (flsenate.gov)</w:t>
        </w:r>
      </w:hyperlink>
      <w:r>
        <w:t xml:space="preserve">; </w:t>
      </w:r>
      <w:hyperlink r:id="rId20">
        <w:r>
          <w:rPr>
            <w:color w:val="185B83"/>
            <w:u w:val="single"/>
          </w:rPr>
          <w:t>Additional legal or source record (media.ca11.uscourts.gov)</w:t>
        </w:r>
      </w:hyperlink>
      <w:r>
        <w:t xml:space="preserve">.  </w:t>
      </w:r>
      <w:r>
        <w:t>Pass 2 source anchor reopened; action and scope reviewed at event level. This does not verify an individual worksite loss.</w:t>
      </w:r>
    </w:p>
    <w:p>
      <w:pPr>
        <w:pStyle w:val="Heading2"/>
      </w:pPr>
      <w:r>
        <w:t>C-006  California suction-dredge mining</w:t>
      </w:r>
    </w:p>
    <w:p>
      <w:pPr>
        <w:keepNext/>
        <w:keepLines/>
      </w:pPr>
      <w:r>
        <w:rPr>
          <w:b/>
        </w:rPr>
        <w:t xml:space="preserve">Why this qualifies.  </w:t>
      </w:r>
      <w:r>
        <w:t>California restricted an established suction-dredge mining method to protect waterways and fish, materially limiting miners who depended on that method.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2009 onward | Fish and Game Code §5653.1 moratorium and later permit conditions. CDFW reports continuing statutory moratorium on some suction dredging; other mining remains possible.</w:t>
      </w:r>
    </w:p>
    <w:p>
      <w:pPr>
        <w:keepLines/>
      </w:pPr>
      <w:r>
        <w:rPr>
          <w:b/>
        </w:rPr>
        <w:t xml:space="preserve">Worksite and group record.  </w:t>
      </w:r>
      <w:r>
        <w:t>Named miner Brandon Rinehart litigated method restriction, not a verified income file.</w:t>
      </w:r>
    </w:p>
    <w:p>
      <w:pPr>
        <w:keepLines/>
      </w:pPr>
      <w:r>
        <w:rPr>
          <w:b/>
        </w:rPr>
        <w:t xml:space="preserve">Causation and legal limits.  </w:t>
      </w:r>
      <w:r>
        <w:t>Other mining methods remain lawful, so the material effect must be tied to the restricted method.</w:t>
      </w:r>
    </w:p>
    <w:p>
      <w:pPr>
        <w:keepLines/>
      </w:pPr>
      <w:r>
        <w:rPr>
          <w:b/>
        </w:rPr>
        <w:t xml:space="preserve">Further event evidence.  </w:t>
      </w:r>
      <w:r>
        <w:t>Link permit holders and dredging crews to actual lawful operations, enforcement dates and subsequent livelihood loss.</w:t>
      </w:r>
    </w:p>
    <w:p>
      <w:pPr>
        <w:keepLines/>
        <w:spacing w:after="120"/>
      </w:pPr>
      <w:r>
        <w:rPr>
          <w:b/>
        </w:rPr>
        <w:t xml:space="preserve">Sources and citation check.  </w:t>
      </w:r>
      <w:hyperlink r:id="rId21">
        <w:r>
          <w:rPr>
            <w:color w:val="185B83"/>
            <w:u w:val="single"/>
          </w:rPr>
          <w:t>Fish and Game Code §5653.1 moratorium and later permit conditions (wildlife.ca.gov)</w:t>
        </w:r>
      </w:hyperlink>
      <w:r>
        <w:t xml:space="preserve">; </w:t>
      </w:r>
      <w:hyperlink r:id="rId22">
        <w:r>
          <w:rPr>
            <w:color w:val="185B83"/>
            <w:u w:val="single"/>
          </w:rPr>
          <w:t>Additional legal or source record (law.justia.com)</w:t>
        </w:r>
      </w:hyperlink>
      <w:r>
        <w:t xml:space="preserve">.  </w:t>
      </w:r>
      <w:r>
        <w:t>Pass 2 source anchor reopened; action and scope reviewed at event level. This does not verify an individual worksite loss.</w:t>
      </w:r>
    </w:p>
    <w:p>
      <w:pPr>
        <w:pStyle w:val="Heading2"/>
      </w:pPr>
      <w:r>
        <w:t>C-008  DDT</w:t>
      </w:r>
    </w:p>
    <w:p>
      <w:pPr>
        <w:keepNext/>
        <w:keepLines/>
      </w:pPr>
      <w:r>
        <w:rPr>
          <w:b/>
        </w:rPr>
        <w:t xml:space="preserve">Why this qualifies.  </w:t>
      </w:r>
      <w:r>
        <w:t>EPA ended most agricultural DDT uses for public-health and environmental protection, eliminating an established crop-pesticide market for its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1972 | EPA DDT registration cancellation. EPA canceled remaining crop uses effective December 31, 1972; narrow public-health uses remained.</w:t>
      </w:r>
    </w:p>
    <w:p>
      <w:pPr>
        <w:keepLines/>
      </w:pPr>
      <w:r>
        <w:rPr>
          <w:b/>
        </w:rPr>
        <w:t xml:space="preserve">Worksite and group record.  </w:t>
      </w:r>
      <w:r>
        <w:t>No manufacturer payroll tied to cancellation in census.</w:t>
      </w:r>
    </w:p>
    <w:p>
      <w:pPr>
        <w:keepLines/>
      </w:pPr>
      <w:r>
        <w:rPr>
          <w:b/>
        </w:rPr>
        <w:t xml:space="preserve">Causation and legal limits.  </w:t>
      </w:r>
      <w:r>
        <w:t>Do not characterize every DDT use as prohibited or all pesticide workers as displaced.</w:t>
      </w:r>
    </w:p>
    <w:p>
      <w:pPr>
        <w:keepLines/>
      </w:pPr>
      <w:r>
        <w:rPr>
          <w:b/>
        </w:rPr>
        <w:t xml:space="preserve">Further event evidence.  </w:t>
      </w:r>
      <w:r>
        <w:t>Identify dedicated DDT production sites and workers, cancellation dates, lawful stock, substitutes and actual separations.</w:t>
      </w:r>
    </w:p>
    <w:p>
      <w:pPr>
        <w:keepLines/>
        <w:spacing w:after="120"/>
      </w:pPr>
      <w:r>
        <w:rPr>
          <w:b/>
        </w:rPr>
        <w:t xml:space="preserve">Sources and citation check.  </w:t>
      </w:r>
      <w:hyperlink r:id="rId23">
        <w:r>
          <w:rPr>
            <w:color w:val="185B83"/>
            <w:u w:val="single"/>
          </w:rPr>
          <w:t>EPA DDT registration cancellation (epa.gov)</w:t>
        </w:r>
      </w:hyperlink>
      <w:r>
        <w:t xml:space="preserve">.  </w:t>
      </w:r>
      <w:r>
        <w:t>Pass 2 source anchor reopened; action and scope reviewed at event level. This does not verify an individual worksite loss.</w:t>
      </w:r>
    </w:p>
    <w:p>
      <w:pPr>
        <w:pStyle w:val="Heading2"/>
      </w:pPr>
      <w:r>
        <w:t>C-009  Leaded gasoline</w:t>
      </w:r>
    </w:p>
    <w:p>
      <w:pPr>
        <w:keepNext/>
        <w:keepLines/>
      </w:pPr>
      <w:r>
        <w:rPr>
          <w:b/>
        </w:rPr>
        <w:t xml:space="preserve">Why this qualifies.  </w:t>
      </w:r>
      <w:r>
        <w:t>EPA completed the on-road leaded-gasoline phaseout to protect public health, ending that established fuel and additive market for affected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1996 final on-road ban | Clean Air Act leaded motor gasoline phaseout. January 1, 1996 ban applied to fuel for on-road vehicles; aviation and other uses differ.</w:t>
      </w:r>
    </w:p>
    <w:p>
      <w:pPr>
        <w:keepLines/>
      </w:pPr>
      <w:r>
        <w:rPr>
          <w:b/>
        </w:rPr>
        <w:t xml:space="preserve">Worksite and group record.  </w:t>
      </w:r>
      <w:r>
        <w:t>No refinery/additive production worker records transcribed.</w:t>
      </w:r>
    </w:p>
    <w:p>
      <w:pPr>
        <w:keepLines/>
      </w:pPr>
      <w:r>
        <w:rPr>
          <w:b/>
        </w:rPr>
        <w:t xml:space="preserve">Causation and legal limits.  </w:t>
      </w:r>
      <w:r>
        <w:t>Industry had decades to adapt; on-road fuel is the unit, not all gasoline.</w:t>
      </w:r>
    </w:p>
    <w:p>
      <w:pPr>
        <w:keepLines/>
      </w:pPr>
      <w:r>
        <w:rPr>
          <w:b/>
        </w:rPr>
        <w:t xml:space="preserve">Further event evidence.  </w:t>
      </w:r>
      <w:r>
        <w:t>Identify dedicated lead-additive or related production lines, phaseout dates, conversion and actual group separations.</w:t>
      </w:r>
    </w:p>
    <w:p>
      <w:pPr>
        <w:keepLines/>
        <w:spacing w:after="120"/>
      </w:pPr>
      <w:r>
        <w:rPr>
          <w:b/>
        </w:rPr>
        <w:t xml:space="preserve">Sources and citation check.  </w:t>
      </w:r>
      <w:hyperlink r:id="rId24">
        <w:r>
          <w:rPr>
            <w:color w:val="185B83"/>
            <w:u w:val="single"/>
          </w:rPr>
          <w:t>Clean Air Act leaded motor gasoline phaseout (epa.gov)</w:t>
        </w:r>
      </w:hyperlink>
      <w:r>
        <w:t xml:space="preserve">.  </w:t>
      </w:r>
      <w:r>
        <w:t>Pass 2 source anchor reopened; action and scope reviewed at event level. This does not verify an individual worksite loss.</w:t>
      </w:r>
    </w:p>
    <w:p>
      <w:pPr>
        <w:pStyle w:val="Heading2"/>
      </w:pPr>
      <w:r>
        <w:t>C-010  PCBs</w:t>
      </w:r>
    </w:p>
    <w:p>
      <w:pPr>
        <w:keepNext/>
        <w:keepLines/>
      </w:pPr>
      <w:r>
        <w:rPr>
          <w:b/>
        </w:rPr>
        <w:t xml:space="preserve">Why this qualifies.  </w:t>
      </w:r>
      <w:r>
        <w:t>Congress barred commercial PCB manufacture to reduce toxic exposure, directly removing an established product line from its makers.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1979 | TSCA §6(e) and EPA PCB rules. Commercial PCB manufacture banned; exceptions for inadvertent byproducts and existing uses.</w:t>
      </w:r>
    </w:p>
    <w:p>
      <w:pPr>
        <w:keepLines/>
      </w:pPr>
      <w:r>
        <w:rPr>
          <w:b/>
        </w:rPr>
        <w:t xml:space="preserve">Worksite and group record.  </w:t>
      </w:r>
      <w:r>
        <w:t>No identified producer worksite and layoff record in census.</w:t>
      </w:r>
    </w:p>
    <w:p>
      <w:pPr>
        <w:keepLines/>
      </w:pPr>
      <w:r>
        <w:rPr>
          <w:b/>
        </w:rPr>
        <w:t xml:space="preserve">Causation and legal limits.  </w:t>
      </w:r>
      <w:r>
        <w:t>Separate production from cleanup work and surviving uses.</w:t>
      </w:r>
    </w:p>
    <w:p>
      <w:pPr>
        <w:keepLines/>
      </w:pPr>
      <w:r>
        <w:rPr>
          <w:b/>
        </w:rPr>
        <w:t xml:space="preserve">Further event evidence.  </w:t>
      </w:r>
      <w:r>
        <w:t>Identify dedicated PCB production sites and separations attributable to the manufacturing prohibition rather than downstream restrictions.</w:t>
      </w:r>
    </w:p>
    <w:p>
      <w:pPr>
        <w:keepLines/>
        <w:spacing w:after="120"/>
      </w:pPr>
      <w:r>
        <w:rPr>
          <w:b/>
        </w:rPr>
        <w:t xml:space="preserve">Sources and citation check.  </w:t>
      </w:r>
      <w:hyperlink r:id="rId25">
        <w:r>
          <w:rPr>
            <w:color w:val="185B83"/>
            <w:u w:val="single"/>
          </w:rPr>
          <w:t>TSCA §6(e) and EPA PCB rules (epa.gov)</w:t>
        </w:r>
      </w:hyperlink>
      <w:r>
        <w:t xml:space="preserve">.  </w:t>
      </w:r>
      <w:r>
        <w:t>Pass 2 source anchor reopened; action and scope reviewed at event level. This does not verify an individual worksite loss.</w:t>
      </w:r>
    </w:p>
    <w:p>
      <w:pPr>
        <w:pStyle w:val="Heading2"/>
      </w:pPr>
      <w:r>
        <w:t>C-012  Chrysotile asbestos</w:t>
      </w:r>
    </w:p>
    <w:p>
      <w:pPr>
        <w:keepNext/>
        <w:keepLines/>
      </w:pPr>
      <w:r>
        <w:rPr>
          <w:b/>
        </w:rPr>
        <w:t xml:space="preserve">Why this qualifies.  </w:t>
      </w:r>
      <w:r>
        <w:t>EPA is ending specified ongoing chrysotile-asbestos uses to protect health, forcing suppliers of those formerly lawful uses out of the covered markets on applicable dates.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2024 rule; phased | EPA TSCA chrysotile asbestos rule. Ongoing uses subject to differing phaseout deadlines and exceptions.</w:t>
      </w:r>
    </w:p>
    <w:p>
      <w:pPr>
        <w:keepLines/>
      </w:pPr>
      <w:r>
        <w:rPr>
          <w:b/>
        </w:rPr>
        <w:t xml:space="preserve">Worksite and group record.  </w:t>
      </w:r>
      <w:r>
        <w:t>No specific affected plant roster transcribed.</w:t>
      </w:r>
    </w:p>
    <w:p>
      <w:pPr>
        <w:keepLines/>
      </w:pPr>
      <w:r>
        <w:rPr>
          <w:b/>
        </w:rPr>
        <w:t xml:space="preserve">Causation and legal limits.  </w:t>
      </w:r>
      <w:r>
        <w:t>Product and use deadlines control, not a single nationwide separation date.</w:t>
      </w:r>
    </w:p>
    <w:p>
      <w:pPr>
        <w:keepLines/>
      </w:pPr>
      <w:r>
        <w:rPr>
          <w:b/>
        </w:rPr>
        <w:t xml:space="preserve">Further event evidence.  </w:t>
      </w:r>
      <w:r>
        <w:t>Apply the final rule by use and compliance date; obtain dedicated plant staffing and evidence of conversion or closure.</w:t>
      </w:r>
    </w:p>
    <w:p>
      <w:pPr>
        <w:keepLines/>
        <w:spacing w:after="120"/>
      </w:pPr>
      <w:r>
        <w:rPr>
          <w:b/>
        </w:rPr>
        <w:t xml:space="preserve">Sources and citation check.  </w:t>
      </w:r>
      <w:hyperlink r:id="rId26">
        <w:r>
          <w:rPr>
            <w:color w:val="185B83"/>
            <w:u w:val="single"/>
          </w:rPr>
          <w:t>EPA TSCA chrysotile asbestos rule (epa.gov)</w:t>
        </w:r>
      </w:hyperlink>
      <w:r>
        <w:t xml:space="preserve">.  </w:t>
      </w:r>
      <w:r>
        <w:t>Pass 2 source anchor reopened; action and scope reviewed at event level. This does not verify an individual worksite loss.</w:t>
      </w:r>
    </w:p>
    <w:p>
      <w:pPr>
        <w:pStyle w:val="Heading2"/>
      </w:pPr>
      <w:r>
        <w:t>C-013  Methylene chloride</w:t>
      </w:r>
    </w:p>
    <w:p>
      <w:pPr>
        <w:keepNext/>
        <w:keepLines/>
      </w:pPr>
      <w:r>
        <w:rPr>
          <w:b/>
        </w:rPr>
        <w:t xml:space="preserve">Why this qualifies.  </w:t>
      </w:r>
      <w:r>
        <w:t>EPA barred most methylene-chloride uses to protect workers and consumers, materially curtailing established production and sales tied to those uses.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2024 rule; phased | EPA TSCA methylene chloride rule. Most uses prohibited on schedules; certain critical uses retained with worker protection.</w:t>
      </w:r>
    </w:p>
    <w:p>
      <w:pPr>
        <w:keepLines/>
      </w:pPr>
      <w:r>
        <w:rPr>
          <w:b/>
        </w:rPr>
        <w:t xml:space="preserve">Worksite and group record.  </w:t>
      </w:r>
      <w:r>
        <w:t>No named worksite separation record in census.</w:t>
      </w:r>
    </w:p>
    <w:p>
      <w:pPr>
        <w:keepLines/>
      </w:pPr>
      <w:r>
        <w:rPr>
          <w:b/>
        </w:rPr>
        <w:t xml:space="preserve">Causation and legal limits.  </w:t>
      </w:r>
      <w:r>
        <w:t>Use-specific exemptions and live compliance status require plant proof.</w:t>
      </w:r>
    </w:p>
    <w:p>
      <w:pPr>
        <w:keepLines/>
      </w:pPr>
      <w:r>
        <w:rPr>
          <w:b/>
        </w:rPr>
        <w:t xml:space="preserve">Further event evidence.  </w:t>
      </w:r>
      <w:r>
        <w:t>Apply the final rule by use and compliance date; obtain dedicated plant staffing and evidence of substitution or closure.</w:t>
      </w:r>
    </w:p>
    <w:p>
      <w:pPr>
        <w:keepLines/>
        <w:spacing w:after="120"/>
      </w:pPr>
      <w:r>
        <w:rPr>
          <w:b/>
        </w:rPr>
        <w:t xml:space="preserve">Sources and citation check.  </w:t>
      </w:r>
      <w:hyperlink r:id="rId27">
        <w:r>
          <w:rPr>
            <w:color w:val="185B83"/>
            <w:u w:val="single"/>
          </w:rPr>
          <w:t>EPA TSCA methylene chloride rule (epa.gov)</w:t>
        </w:r>
      </w:hyperlink>
      <w:r>
        <w:t xml:space="preserve">.  </w:t>
      </w:r>
      <w:r>
        <w:t>Pass 2 source anchor reopened; action and scope reviewed at event level. This does not verify an individual worksite loss.</w:t>
      </w:r>
    </w:p>
    <w:p>
      <w:pPr>
        <w:pStyle w:val="Heading2"/>
      </w:pPr>
      <w:r>
        <w:t>C-014  New York coal phaseout</w:t>
      </w:r>
    </w:p>
    <w:p>
      <w:pPr>
        <w:keepNext/>
        <w:keepLines/>
      </w:pPr>
      <w:r>
        <w:rPr>
          <w:b/>
        </w:rPr>
        <w:t xml:space="preserve">Why this qualifies.  </w:t>
      </w:r>
      <w:r>
        <w:t>New York required coal generators to control emissions, repower or stop coal operations for cleaner air, imposing a direct material change on existing coal units and their workforces.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York | 2019 rule; 2020 transition | 6 NYCRR Part 251 CO2 performance standards. State job impact statement says existing coal facilities must use advanced capture, repower or cease coal operations.</w:t>
      </w:r>
    </w:p>
    <w:p>
      <w:pPr>
        <w:keepLines/>
      </w:pPr>
      <w:r>
        <w:rPr>
          <w:b/>
        </w:rPr>
        <w:t xml:space="preserve">Worksite and group record.  </w:t>
      </w:r>
      <w:r>
        <w:t>Official rule record discusses Cayuga repowering job projections; actual layoffs need payroll.</w:t>
      </w:r>
    </w:p>
    <w:p>
      <w:pPr>
        <w:keepLines/>
      </w:pPr>
      <w:r>
        <w:rPr>
          <w:b/>
        </w:rPr>
        <w:t xml:space="preserve">Causation and legal limits.  </w:t>
      </w:r>
      <w:r>
        <w:t>Economic alternatives and existing plant distress matter; projected jobs are not separations.</w:t>
      </w:r>
    </w:p>
    <w:p>
      <w:pPr>
        <w:keepLines/>
      </w:pPr>
      <w:r>
        <w:rPr>
          <w:b/>
        </w:rPr>
        <w:t xml:space="preserve">Further event evidence.  </w:t>
      </w:r>
      <w:r>
        <w:t>Trace each coal unit's retirement, staffing and replacement generation against the state standard and other economic drivers.</w:t>
      </w:r>
    </w:p>
    <w:p>
      <w:pPr>
        <w:keepLines/>
        <w:spacing w:after="120"/>
      </w:pPr>
      <w:r>
        <w:rPr>
          <w:b/>
        </w:rPr>
        <w:t xml:space="preserve">Sources and citation check.  </w:t>
      </w:r>
      <w:hyperlink r:id="rId28">
        <w:r>
          <w:rPr>
            <w:color w:val="185B83"/>
            <w:u w:val="single"/>
          </w:rPr>
          <w:t>6 NYCRR Part 251 CO2 performance standards (dos.ny.gov)</w:t>
        </w:r>
      </w:hyperlink>
      <w:r>
        <w:t xml:space="preserve">.  </w:t>
      </w:r>
      <w:r>
        <w:t>Pass 2 PDF anchor checked by source identity; automated extraction is limited. Action scope is subject to the linked text and worksite effects remain unproved.</w:t>
      </w:r>
    </w:p>
    <w:p>
      <w:pPr>
        <w:pStyle w:val="Heading2"/>
      </w:pPr>
      <w:r>
        <w:t>C-015  Centralia coal-unit retirement and gas transition</w:t>
      </w:r>
    </w:p>
    <w:p>
      <w:pPr>
        <w:keepNext/>
        <w:keepLines/>
      </w:pPr>
      <w:r>
        <w:rPr>
          <w:b/>
        </w:rPr>
        <w:t xml:space="preserve">Why this qualifies.  </w:t>
      </w:r>
      <w:r>
        <w:t>Washington required Centralia to stop burning coal for environmental reasons, ending coal-specific operations at an established power worksite even though other generation can continue.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Washington | 2011 law; 2020/2025 coal deadlines | TransAlta Energy Transition Act and BART order. Coal burning at Centralia required to end by 2025.</w:t>
      </w:r>
    </w:p>
    <w:p>
      <w:pPr>
        <w:keepLines/>
      </w:pPr>
      <w:r>
        <w:rPr>
          <w:b/>
        </w:rPr>
        <w:t xml:space="preserve">Worksite and group record.  </w:t>
      </w:r>
      <w:r>
        <w:t>Plant site established; no specific payroll review.</w:t>
      </w:r>
    </w:p>
    <w:p>
      <w:pPr>
        <w:keepLines/>
      </w:pPr>
      <w:r>
        <w:rPr>
          <w:b/>
        </w:rPr>
        <w:t xml:space="preserve">Causation and legal limits.  </w:t>
      </w:r>
      <w:r>
        <w:t>2026 state record says remaining unit shifts to natural gas backup; do not claim entire plant closed.</w:t>
      </w:r>
    </w:p>
    <w:p>
      <w:pPr>
        <w:keepLines/>
      </w:pPr>
      <w:r>
        <w:rPr>
          <w:b/>
        </w:rPr>
        <w:t xml:space="preserve">Further event evidence.  </w:t>
      </w:r>
      <w:r>
        <w:t>Test the conversion of the specific coal unit to gas against staffing records; do not presume the whole station closed.</w:t>
      </w:r>
    </w:p>
    <w:p>
      <w:pPr>
        <w:keepLines/>
        <w:spacing w:after="120"/>
      </w:pPr>
      <w:r>
        <w:rPr>
          <w:b/>
        </w:rPr>
        <w:t xml:space="preserve">Sources and citation check.  </w:t>
      </w:r>
      <w:hyperlink r:id="rId29">
        <w:r>
          <w:rPr>
            <w:color w:val="185B83"/>
            <w:u w:val="single"/>
          </w:rPr>
          <w:t>TransAlta Energy Transition Act and BART order (ecology.wa.gov)</w:t>
        </w:r>
      </w:hyperlink>
      <w:r>
        <w:t xml:space="preserve">.  </w:t>
      </w:r>
      <w:r>
        <w:t>Pass 2 source anchor reopened; action and scope reviewed at event level. This does not verify an individual worksite loss.</w:t>
      </w:r>
    </w:p>
    <w:p>
      <w:pPr>
        <w:pStyle w:val="Heading2"/>
      </w:pPr>
      <w:r>
        <w:t>C-023  Indian Point nuclear closure agreement</w:t>
      </w:r>
    </w:p>
    <w:p>
      <w:pPr>
        <w:keepNext/>
        <w:keepLines/>
      </w:pPr>
      <w:r>
        <w:rPr>
          <w:b/>
        </w:rPr>
        <w:t xml:space="preserve">Why this qualifies.  </w:t>
      </w:r>
      <w:r>
        <w:t>New York negotiated Indian Point's nuclear shutdown for public safety and environmental goals, ending established generating work at the affected units.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York | 2017 agreement; 2020/2021 shutdown | Indian Point closure agreement and state task force. Units 2 and 3 permanently shut down April 2020 and April 2021.</w:t>
      </w:r>
    </w:p>
    <w:p>
      <w:pPr>
        <w:keepLines/>
      </w:pPr>
      <w:r>
        <w:rPr>
          <w:b/>
        </w:rPr>
        <w:t xml:space="preserve">Worksite and group record.  </w:t>
      </w:r>
      <w:r>
        <w:t>State task force explicitly addresses affected employees; a complete worksite separation file is not assembled here.</w:t>
      </w:r>
    </w:p>
    <w:p>
      <w:pPr>
        <w:keepLines/>
      </w:pPr>
      <w:r>
        <w:rPr>
          <w:b/>
        </w:rPr>
        <w:t xml:space="preserve">Causation and legal limits.  </w:t>
      </w:r>
      <w:r>
        <w:t>Decommissioning retained some workers; unit and worker timing matter.</w:t>
      </w:r>
    </w:p>
    <w:p>
      <w:pPr>
        <w:keepLines/>
      </w:pPr>
      <w:r>
        <w:rPr>
          <w:b/>
        </w:rPr>
        <w:t xml:space="preserve">Further event evidence.  </w:t>
      </w:r>
      <w:r>
        <w:t>Obtain Indian Point unit and contractor staffing by shutdown date and distinguish the agreement from independent retirement causes.</w:t>
      </w:r>
    </w:p>
    <w:p>
      <w:pPr>
        <w:keepLines/>
        <w:spacing w:after="120"/>
      </w:pPr>
      <w:r>
        <w:rPr>
          <w:b/>
        </w:rPr>
        <w:t xml:space="preserve">Sources and citation check.  </w:t>
      </w:r>
      <w:hyperlink r:id="rId30">
        <w:r>
          <w:rPr>
            <w:color w:val="185B83"/>
            <w:u w:val="single"/>
          </w:rPr>
          <w:t>Indian Point closure agreement and state task force (dps.ny.gov)</w:t>
        </w:r>
      </w:hyperlink>
      <w:r>
        <w:t xml:space="preserve">; </w:t>
      </w:r>
      <w:hyperlink r:id="rId31">
        <w:r>
          <w:rPr>
            <w:color w:val="185B83"/>
            <w:u w:val="single"/>
          </w:rPr>
          <w:t>Additional legal or source record (nrc.gov)</w:t>
        </w:r>
      </w:hyperlink>
      <w:r>
        <w:t xml:space="preserve">.  </w:t>
      </w:r>
      <w:r>
        <w:t>Pass 2 source anchor reopened; action and scope reviewed at event level. This does not verify an individual worksite loss.</w:t>
      </w:r>
    </w:p>
    <w:p>
      <w:pPr>
        <w:pStyle w:val="Heading2"/>
      </w:pPr>
      <w:r>
        <w:t>C-024  Oyster Creek negotiated early shutdown</w:t>
      </w:r>
    </w:p>
    <w:p>
      <w:pPr>
        <w:keepNext/>
        <w:keepLines/>
      </w:pPr>
      <w:r>
        <w:rPr>
          <w:b/>
        </w:rPr>
        <w:t xml:space="preserve">Why this qualifies.  </w:t>
      </w:r>
      <w:r>
        <w:t>New Jersey negotiated Oyster Creek's early retirement over environmental concerns, shortening the operating life of an established nuclear plant and its associated work.</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Jersey | 2010 agreement; 2018 shutdown | Oyster Creek early closure agreement. State permit/closure bargain preceded permanent shutdown September 17, 2018.</w:t>
      </w:r>
    </w:p>
    <w:p>
      <w:pPr>
        <w:keepLines/>
      </w:pPr>
      <w:r>
        <w:rPr>
          <w:b/>
        </w:rPr>
        <w:t xml:space="preserve">Worksite and group record.  </w:t>
      </w:r>
      <w:r>
        <w:t>NRC identifies worksite; no employee separation roster reviewed.</w:t>
      </w:r>
    </w:p>
    <w:p>
      <w:pPr>
        <w:keepLines/>
      </w:pPr>
      <w:r>
        <w:rPr>
          <w:b/>
        </w:rPr>
        <w:t xml:space="preserve">Causation and legal limits.  </w:t>
      </w:r>
      <w:r>
        <w:t>Earlier negotiated retirement vs later acceleration and decommissioning roles.</w:t>
      </w:r>
    </w:p>
    <w:p>
      <w:pPr>
        <w:keepLines/>
      </w:pPr>
      <w:r>
        <w:rPr>
          <w:b/>
        </w:rPr>
        <w:t xml:space="preserve">Further event evidence.  </w:t>
      </w:r>
      <w:r>
        <w:t>Obtain Oyster Creek staffing, the negotiated shutdown date and evidence that the government action caused group separations.</w:t>
      </w:r>
    </w:p>
    <w:p>
      <w:pPr>
        <w:keepLines/>
        <w:spacing w:after="120"/>
      </w:pPr>
      <w:r>
        <w:rPr>
          <w:b/>
        </w:rPr>
        <w:t xml:space="preserve">Sources and citation check.  </w:t>
      </w:r>
      <w:hyperlink r:id="rId32">
        <w:r>
          <w:rPr>
            <w:color w:val="185B83"/>
            <w:u w:val="single"/>
          </w:rPr>
          <w:t>Oyster Creek early closure agreement (dep.nj.gov)</w:t>
        </w:r>
      </w:hyperlink>
      <w:r>
        <w:t xml:space="preserve">; </w:t>
      </w:r>
      <w:hyperlink r:id="rId33">
        <w:r>
          <w:rPr>
            <w:color w:val="185B83"/>
            <w:u w:val="single"/>
          </w:rPr>
          <w:t>Additional legal or source record (dep.nj.gov)</w:t>
        </w:r>
      </w:hyperlink>
      <w:r>
        <w:t xml:space="preserve">.  </w:t>
      </w:r>
      <w:r>
        <w:t>Pass 2: NJDEP agreement and 2018 shutdown rechecked; 2018 was about ten years ahead of license expiration. Staffing transition remains a separate question.</w:t>
      </w:r>
    </w:p>
    <w:p>
      <w:pPr>
        <w:pStyle w:val="Heading2"/>
      </w:pPr>
      <w:r>
        <w:t>C-027  Redwood National Park expansion timber displacement</w:t>
      </w:r>
    </w:p>
    <w:p>
      <w:pPr>
        <w:keepNext/>
        <w:keepLines/>
      </w:pPr>
      <w:r>
        <w:rPr>
          <w:b/>
        </w:rPr>
        <w:t xml:space="preserve">Why this qualifies.  </w:t>
      </w:r>
      <w:r>
        <w:t>Congress expanded Redwood National Park for public conservation, reducing established timber activity and expressly addressing displaced timber workers.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1978 | Redwood National Park Expansion Act, Pub. L. 95-250 Title II. Act created direct employee protection for park expansion effects.</w:t>
      </w:r>
    </w:p>
    <w:p>
      <w:pPr>
        <w:keepLines/>
      </w:pPr>
      <w:r>
        <w:rPr>
          <w:b/>
        </w:rPr>
        <w:t xml:space="preserve">Worksite and group record.  </w:t>
      </w:r>
      <w:r>
        <w:t>GAO Samoa Plywood closure record; Luedemann and Demarinis judicial records concern distinct groups and causal periods.</w:t>
      </w:r>
    </w:p>
    <w:p>
      <w:pPr>
        <w:keepLines/>
      </w:pPr>
      <w:r>
        <w:rPr>
          <w:b/>
        </w:rPr>
        <w:t xml:space="preserve">Causation and legal limits.  </w:t>
      </w:r>
      <w:r>
        <w:t>Program presumption covered some layoffs not causally related; do not equate statutory eligibility with Cornerstone test.</w:t>
      </w:r>
    </w:p>
    <w:p>
      <w:pPr>
        <w:keepLines/>
      </w:pPr>
      <w:r>
        <w:rPr>
          <w:b/>
        </w:rPr>
        <w:t xml:space="preserve">Further event evidence.  </w:t>
      </w:r>
      <w:r>
        <w:t>Define affected Redwood worksites, groups, separations and causal period; compare the statutory worker program without importing its eligibility presumption.</w:t>
      </w:r>
    </w:p>
    <w:p>
      <w:pPr>
        <w:keepLines/>
        <w:spacing w:after="120"/>
      </w:pPr>
      <w:r>
        <w:rPr>
          <w:b/>
        </w:rPr>
        <w:t xml:space="preserve">Sources and citation check.  </w:t>
      </w:r>
      <w:hyperlink r:id="rId34">
        <w:r>
          <w:rPr>
            <w:color w:val="185B83"/>
            <w:u w:val="single"/>
          </w:rPr>
          <w:t>Redwood National Park Expansion Act, Pub. L. 95-250 Title II (gao.gov)</w:t>
        </w:r>
      </w:hyperlink>
      <w:r>
        <w:t xml:space="preserve">; </w:t>
      </w:r>
      <w:hyperlink r:id="rId35">
        <w:r>
          <w:rPr>
            <w:color w:val="185B83"/>
            <w:u w:val="single"/>
          </w:rPr>
          <w:t>Additional legal or source record (law.justia.com)</w:t>
        </w:r>
      </w:hyperlink>
      <w:r>
        <w:t xml:space="preserve">.  </w:t>
      </w:r>
      <w:r>
        <w:t>Pass 2 source anchor reopened; action and scope reviewed at event level. This does not verify an individual worksite loss.</w:t>
      </w:r>
    </w:p>
    <w:p>
      <w:pPr>
        <w:pStyle w:val="Heading2"/>
      </w:pPr>
      <w:r>
        <w:t>C-028  Northwest Forest Plan timber contraction</w:t>
      </w:r>
    </w:p>
    <w:p>
      <w:pPr>
        <w:keepNext/>
        <w:keepLines/>
      </w:pPr>
      <w:r>
        <w:rPr>
          <w:b/>
        </w:rPr>
        <w:t xml:space="preserve">Why this qualifies.  </w:t>
      </w:r>
      <w:r>
        <w:t>Federal forest protection reduced the timber supply to existing Northwest mills for a broad conservation purpose, materially affecting timber-dependent jobs and communities.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1994 plan | Northwest Forest Plan record of decision. Protected much older forest habitat and reduced timber supply.</w:t>
      </w:r>
    </w:p>
    <w:p>
      <w:pPr>
        <w:keepLines/>
      </w:pPr>
      <w:r>
        <w:rPr>
          <w:b/>
        </w:rPr>
        <w:t xml:space="preserve">Worksite and group record.  </w:t>
      </w:r>
      <w:r>
        <w:t>Forest Service socioeconomic monitoring covers multiple communities, no one worksite attribution here.</w:t>
      </w:r>
    </w:p>
    <w:p>
      <w:pPr>
        <w:keepLines/>
      </w:pPr>
      <w:r>
        <w:rPr>
          <w:b/>
        </w:rPr>
        <w:t xml:space="preserve">Causation and legal limits.  </w:t>
      </w:r>
      <w:r>
        <w:t>Harvest decline predated plan in some areas; separate mills and contracts.</w:t>
      </w:r>
    </w:p>
    <w:p>
      <w:pPr>
        <w:keepLines/>
      </w:pPr>
      <w:r>
        <w:rPr>
          <w:b/>
        </w:rPr>
        <w:t xml:space="preserve">Further event evidence.  </w:t>
      </w:r>
      <w:r>
        <w:t>Test Forest Plan effects by mill, timber supply and closure date, with payroll and market evidence for each worksite group.</w:t>
      </w:r>
    </w:p>
    <w:p>
      <w:pPr>
        <w:keepLines/>
        <w:spacing w:after="120"/>
      </w:pPr>
      <w:r>
        <w:rPr>
          <w:b/>
        </w:rPr>
        <w:t xml:space="preserve">Sources and citation check.  </w:t>
      </w:r>
      <w:hyperlink r:id="rId36">
        <w:r>
          <w:rPr>
            <w:color w:val="185B83"/>
            <w:u w:val="single"/>
          </w:rPr>
          <w:t>Northwest Forest Plan record of decision (research.fs.usda.gov)</w:t>
        </w:r>
      </w:hyperlink>
      <w:r>
        <w:t xml:space="preserve">.  </w:t>
      </w:r>
      <w:r>
        <w:t>Pass 2 source anchor reopened; action and scope reviewed at event level. This does not verify an individual worksite loss.</w:t>
      </w:r>
    </w:p>
    <w:p>
      <w:pPr>
        <w:pStyle w:val="Heading2"/>
      </w:pPr>
      <w:r>
        <w:t>C-029  Tongass Timber Reform Act and Southeast Alaska timber</w:t>
      </w:r>
    </w:p>
    <w:p>
      <w:pPr>
        <w:keepNext/>
        <w:keepLines/>
      </w:pPr>
      <w:r>
        <w:rPr>
          <w:b/>
        </w:rPr>
        <w:t xml:space="preserve">Why this qualifies.  </w:t>
      </w:r>
      <w:r>
        <w:t>Congress changed Tongass timber contracts and protected forest land for national conservation and fairer access; the changes contributed, with other factors, to a material contraction affecting Alaska timber mills and logging workers.</w:t>
      </w:r>
    </w:p>
    <w:p>
      <w:pPr>
        <w:keepLines/>
      </w:pPr>
      <w:r>
        <w:rPr>
          <w:b/>
        </w:rPr>
        <w:t xml:space="preserve">Screening disposition.  </w:t>
      </w:r>
      <w:r>
        <w:t>Qualifying regional timber event; exact worksite losses remain to be attributed.</w:t>
      </w:r>
    </w:p>
    <w:p>
      <w:pPr>
        <w:keepLines/>
      </w:pPr>
      <w:r>
        <w:rPr>
          <w:b/>
        </w:rPr>
        <w:t xml:space="preserve">Government action and scope.  </w:t>
      </w:r>
      <w:r>
        <w:t>United States | 1990 act; 1993 mill closure | Tongass Timber Reform Act, Pub. L. 101-626. The 1990 Act changed the long-term Tongass timber contracts, set aside forest land and altered harvesting rules. It did not itself shut every mill.</w:t>
      </w:r>
    </w:p>
    <w:p>
      <w:pPr>
        <w:keepLines/>
      </w:pPr>
      <w:r>
        <w:rPr>
          <w:b/>
        </w:rPr>
        <w:t xml:space="preserve">Worksite and group record.  </w:t>
      </w:r>
      <w:r>
        <w:t>Alaska Labor identified affected timber-industry employment and followed workers at the Sitka mill; the Ketchikan mill and logging trade also belong in the regional worksite inquiry.</w:t>
      </w:r>
    </w:p>
    <w:p>
      <w:pPr>
        <w:keepLines/>
      </w:pPr>
      <w:r>
        <w:rPr>
          <w:b/>
        </w:rPr>
        <w:t xml:space="preserve">Causation and legal limits.  </w:t>
      </w:r>
      <w:r>
        <w:t>The Sitka litigation found the statutory contract changes were not a substantial factor in that mill's 1993 closure. State labor history places the Act among several causes of the wider timber contraction; no single mill closure is attributed to the Act here without a separate record.</w:t>
      </w:r>
    </w:p>
    <w:p>
      <w:pPr>
        <w:keepLines/>
      </w:pPr>
      <w:r>
        <w:rPr>
          <w:b/>
        </w:rPr>
        <w:t xml:space="preserve">Further event evidence.  </w:t>
      </w:r>
      <w:r>
        <w:t>Map affected Tongass contracts, harvest reductions and mill or logging employment. Test each worksite against market and other causes; do not use the Sitka closure as a proven direct Act-caused layoff.</w:t>
      </w:r>
    </w:p>
    <w:p>
      <w:pPr>
        <w:keepLines/>
        <w:spacing w:after="120"/>
      </w:pPr>
      <w:r>
        <w:rPr>
          <w:b/>
        </w:rPr>
        <w:t xml:space="preserve">Sources and citation check.  </w:t>
      </w:r>
      <w:hyperlink r:id="rId37">
        <w:r>
          <w:rPr>
            <w:color w:val="185B83"/>
            <w:u w:val="single"/>
          </w:rPr>
          <w:t>Tongass Timber Reform Act, Pub. L. 101-626 (uscode.house.gov)</w:t>
        </w:r>
      </w:hyperlink>
      <w:r>
        <w:t xml:space="preserve">; </w:t>
      </w:r>
      <w:hyperlink r:id="rId38">
        <w:r>
          <w:rPr>
            <w:color w:val="185B83"/>
            <w:u w:val="single"/>
          </w:rPr>
          <w:t>Additional legal or source record (app.midpage.ai)</w:t>
        </w:r>
      </w:hyperlink>
      <w:r>
        <w:t xml:space="preserve">; </w:t>
      </w:r>
      <w:hyperlink r:id="rId39">
        <w:r>
          <w:rPr>
            <w:color w:val="185B83"/>
            <w:u w:val="single"/>
          </w:rPr>
          <w:t>Alaska Department of Labor timber history</w:t>
        </w:r>
      </w:hyperlink>
      <w:r>
        <w:t xml:space="preserve">; </w:t>
      </w:r>
      <w:hyperlink r:id="rId40">
        <w:r>
          <w:rPr>
            <w:color w:val="185B83"/>
            <w:u w:val="single"/>
          </w:rPr>
          <w:t>GAO Tongass contract changes</w:t>
        </w:r>
      </w:hyperlink>
      <w:r>
        <w:t xml:space="preserve">.  </w:t>
      </w:r>
      <w:r>
        <w:t>Pass 2 direct fetch failed; prior official citation or indexed result retained. Reopen the underlying text before worksite certification.</w:t>
      </w:r>
    </w:p>
    <w:p>
      <w:pPr>
        <w:pStyle w:val="Heading2"/>
      </w:pPr>
      <w:r>
        <w:t>C-032  California large-mesh drift-gillnet phaseout</w:t>
      </w:r>
    </w:p>
    <w:p>
      <w:pPr>
        <w:keepNext/>
        <w:keepLines/>
      </w:pPr>
      <w:r>
        <w:rPr>
          <w:b/>
        </w:rPr>
        <w:t xml:space="preserve">Why this qualifies.  </w:t>
      </w:r>
      <w:r>
        <w:t>California phased out a large-mesh drift-gillnet fishery for marine conservation, restricting an established fleet's permits and customary method of earning revenue.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2018 act; phased | SB 1017 large-mesh drift gillnet transition. State phaseout and permit transition/buyback for swordfish drift-gillnet fleet.</w:t>
      </w:r>
    </w:p>
    <w:p>
      <w:pPr>
        <w:keepLines/>
      </w:pPr>
      <w:r>
        <w:rPr>
          <w:b/>
        </w:rPr>
        <w:t xml:space="preserve">Worksite and group record.  </w:t>
      </w:r>
      <w:r>
        <w:t>Vessel permits and surrender records are needed; permit-holder payment detail is not assembled here.</w:t>
      </w:r>
    </w:p>
    <w:p>
      <w:pPr>
        <w:keepLines/>
      </w:pPr>
      <w:r>
        <w:rPr>
          <w:b/>
        </w:rPr>
        <w:t xml:space="preserve">Causation and legal limits.  </w:t>
      </w:r>
      <w:r>
        <w:t>Voluntary surrender payment and federal overlap must be netted; actual exit date per permit.</w:t>
      </w:r>
    </w:p>
    <w:p>
      <w:pPr>
        <w:keepLines/>
      </w:pPr>
      <w:r>
        <w:rPr>
          <w:b/>
        </w:rPr>
        <w:t xml:space="preserve">Further event evidence.  </w:t>
      </w:r>
      <w:r>
        <w:t>Match affected permits, vessels, crew and landings to the state gear transition and actual separations.</w:t>
      </w:r>
    </w:p>
    <w:p>
      <w:pPr>
        <w:keepLines/>
        <w:spacing w:after="120"/>
      </w:pPr>
      <w:r>
        <w:rPr>
          <w:b/>
        </w:rPr>
        <w:t xml:space="preserve">Sources and citation check.  </w:t>
      </w:r>
      <w:hyperlink r:id="rId41">
        <w:r>
          <w:rPr>
            <w:color w:val="185B83"/>
            <w:u w:val="single"/>
          </w:rPr>
          <w:t>SB 1017 large-mesh drift gillnet transition (leginfo.legislature.ca.gov)</w:t>
        </w:r>
      </w:hyperlink>
      <w:r>
        <w:t xml:space="preserve">.  </w:t>
      </w:r>
      <w:r>
        <w:t>Pass 2 source anchor reopened; action and scope reviewed at event level. This does not verify an individual worksite loss.</w:t>
      </w:r>
    </w:p>
    <w:p>
      <w:pPr>
        <w:pStyle w:val="Heading2"/>
      </w:pPr>
      <w:r>
        <w:t>C-035  2008 West Coast commercial salmon closure</w:t>
      </w:r>
    </w:p>
    <w:p>
      <w:pPr>
        <w:keepNext/>
        <w:keepLines/>
      </w:pPr>
      <w:r>
        <w:rPr>
          <w:b/>
        </w:rPr>
        <w:t xml:space="preserve">Why this qualifies.  </w:t>
      </w:r>
      <w:r>
        <w:t>Federal fishery managers closed the 2008 commercial ocean salmon season to conserve depleted stocks, removing a season of work and revenue from the existing fleet.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2008 fishing season | NOAA West Coast ocean salmon closure and fishery disaster. Commercial ocean salmon fishery closed off California and most Oregon for depleted stock.</w:t>
      </w:r>
    </w:p>
    <w:p>
      <w:pPr>
        <w:keepLines/>
      </w:pPr>
      <w:r>
        <w:rPr>
          <w:b/>
        </w:rPr>
        <w:t xml:space="preserve">Worksite and group record.  </w:t>
      </w:r>
      <w:r>
        <w:t>Agency recognized fishery disaster; vessel/crew earnings not reviewed.</w:t>
      </w:r>
    </w:p>
    <w:p>
      <w:pPr>
        <w:keepLines/>
      </w:pPr>
      <w:r>
        <w:rPr>
          <w:b/>
        </w:rPr>
        <w:t xml:space="preserve">Causation and legal limits.  </w:t>
      </w:r>
      <w:r>
        <w:t>Resource collapse is powerful competing cause; one-season closure not necessarily permanent livelihood loss.</w:t>
      </w:r>
    </w:p>
    <w:p>
      <w:pPr>
        <w:keepLines/>
      </w:pPr>
      <w:r>
        <w:rPr>
          <w:b/>
        </w:rPr>
        <w:t xml:space="preserve">Further event evidence.  </w:t>
      </w:r>
      <w:r>
        <w:t>Match closure dates, permits, vessels, landings and crew to a defined season and test whether work loss persisted beyond the closure.</w:t>
      </w:r>
    </w:p>
    <w:p>
      <w:pPr>
        <w:keepLines/>
        <w:spacing w:after="120"/>
      </w:pPr>
      <w:r>
        <w:rPr>
          <w:b/>
        </w:rPr>
        <w:t xml:space="preserve">Sources and citation check.  </w:t>
      </w:r>
      <w:hyperlink r:id="rId42">
        <w:r>
          <w:rPr>
            <w:color w:val="185B83"/>
            <w:u w:val="single"/>
          </w:rPr>
          <w:t>NOAA West Coast ocean salmon closure and fishery disaster (media.fisheries.noaa.gov)</w:t>
        </w:r>
      </w:hyperlink>
      <w:r>
        <w:t xml:space="preserve">.  </w:t>
      </w:r>
      <w:r>
        <w:t>Pass 2 source anchor reopened; action and scope reviewed at event level. This does not verify an individual worksite loss.</w:t>
      </w:r>
    </w:p>
    <w:p>
      <w:pPr>
        <w:pStyle w:val="Heading2"/>
      </w:pPr>
      <w:r>
        <w:t>C-036A  2023 California and southern Oregon salmon restrictions</w:t>
      </w:r>
    </w:p>
    <w:p>
      <w:pPr>
        <w:keepNext/>
        <w:keepLines/>
      </w:pPr>
      <w:r>
        <w:rPr>
          <w:b/>
        </w:rPr>
        <w:t xml:space="preserve">Why this qualifies.  </w:t>
      </w:r>
      <w:r>
        <w:t>NOAA closed specified 2023 commercial salmon areas to protect weak stocks, taking fishing days and revenue opportunities from existing vessels and crews.</w:t>
      </w:r>
    </w:p>
    <w:p>
      <w:pPr>
        <w:keepLines/>
      </w:pPr>
      <w:r>
        <w:rPr>
          <w:b/>
        </w:rPr>
        <w:t xml:space="preserve">Screening disposition.  </w:t>
      </w:r>
      <w:r>
        <w:t>Qualifying seasonal fishery restriction; vessel and crew effects remain to be measured.</w:t>
      </w:r>
    </w:p>
    <w:p>
      <w:pPr>
        <w:keepLines/>
      </w:pPr>
      <w:r>
        <w:rPr>
          <w:b/>
        </w:rPr>
        <w:t xml:space="preserve">Government action and scope.  </w:t>
      </w:r>
      <w:r>
        <w:t>NOAA Fisheries | 2023 | Annual rule and inseason action. NOAA closed specified 2023 commercial salmon fishing dates off California and southern Oregon; the exact closed area and season define this event.</w:t>
      </w:r>
    </w:p>
    <w:p>
      <w:pPr>
        <w:keepLines/>
      </w:pPr>
      <w:r>
        <w:rPr>
          <w:b/>
        </w:rPr>
        <w:t xml:space="preserve">Worksite and group record.  </w:t>
      </w:r>
      <w:r>
        <w:t>No vessel or crew cohort tied to this exact season and area.</w:t>
      </w:r>
    </w:p>
    <w:p>
      <w:pPr>
        <w:keepLines/>
      </w:pPr>
      <w:r>
        <w:rPr>
          <w:b/>
        </w:rPr>
        <w:t xml:space="preserve">Causation and legal limits.  </w:t>
      </w:r>
      <w:r>
        <w:t>Stock condition, geography, alternate seasons and fisheries are material.</w:t>
      </w:r>
    </w:p>
    <w:p>
      <w:pPr>
        <w:keepLines/>
      </w:pPr>
      <w:r>
        <w:rPr>
          <w:b/>
        </w:rPr>
        <w:t xml:space="preserve">Further event evidence.  </w:t>
      </w:r>
      <w:r>
        <w:t>Match the actual commercial closure dates and area to permits, landings and crew earnings; distinguish fish-stock decline from the government's closure decision.</w:t>
      </w:r>
    </w:p>
    <w:p>
      <w:pPr>
        <w:keepLines/>
        <w:spacing w:after="120"/>
      </w:pPr>
      <w:r>
        <w:rPr>
          <w:b/>
        </w:rPr>
        <w:t xml:space="preserve">Sources and citation check.  </w:t>
      </w:r>
      <w:hyperlink r:id="rId43">
        <w:r>
          <w:rPr>
            <w:color w:val="185B83"/>
            <w:u w:val="single"/>
          </w:rPr>
          <w:t>Annual rule and inseason action (fisheries.noaa.gov)</w:t>
        </w:r>
      </w:hyperlink>
      <w:r>
        <w:t xml:space="preserve">.  </w:t>
      </w:r>
      <w:r>
        <w:t>Pass 2 source anchor reopened; action and scope reviewed at event level. This does not verify an individual worksite loss.</w:t>
      </w:r>
    </w:p>
    <w:p>
      <w:pPr>
        <w:pStyle w:val="Heading2"/>
      </w:pPr>
      <w:r>
        <w:t>C-036B  2024 California and southern Oregon salmon restrictions</w:t>
      </w:r>
    </w:p>
    <w:p>
      <w:pPr>
        <w:keepNext/>
        <w:keepLines/>
      </w:pPr>
      <w:r>
        <w:rPr>
          <w:b/>
        </w:rPr>
        <w:t xml:space="preserve">Why this qualifies.  </w:t>
      </w:r>
      <w:r>
        <w:t>NOAA closed specified 2024 commercial salmon areas for stock protection, materially restricting that season's existing vessels and crews.</w:t>
      </w:r>
    </w:p>
    <w:p>
      <w:pPr>
        <w:keepLines/>
      </w:pPr>
      <w:r>
        <w:rPr>
          <w:b/>
        </w:rPr>
        <w:t xml:space="preserve">Screening disposition.  </w:t>
      </w:r>
      <w:r>
        <w:t>Qualifying seasonal fishery restriction; vessel and crew effects remain to be measured.</w:t>
      </w:r>
    </w:p>
    <w:p>
      <w:pPr>
        <w:keepLines/>
      </w:pPr>
      <w:r>
        <w:rPr>
          <w:b/>
        </w:rPr>
        <w:t xml:space="preserve">Government action and scope.  </w:t>
      </w:r>
      <w:r>
        <w:t>NOAA Fisheries | 2024 | Annual rule and inseason action. NOAA closed specified 2024 commercial salmon fishing dates off California; other Oregon and California opportunities must be considered by area.</w:t>
      </w:r>
    </w:p>
    <w:p>
      <w:pPr>
        <w:keepLines/>
      </w:pPr>
      <w:r>
        <w:rPr>
          <w:b/>
        </w:rPr>
        <w:t xml:space="preserve">Worksite and group record.  </w:t>
      </w:r>
      <w:r>
        <w:t>No vessel or crew cohort tied to this exact season and area.</w:t>
      </w:r>
    </w:p>
    <w:p>
      <w:pPr>
        <w:keepLines/>
      </w:pPr>
      <w:r>
        <w:rPr>
          <w:b/>
        </w:rPr>
        <w:t xml:space="preserve">Causation and legal limits.  </w:t>
      </w:r>
      <w:r>
        <w:t>Stock condition, geography, alternate seasons and fisheries are material.</w:t>
      </w:r>
    </w:p>
    <w:p>
      <w:pPr>
        <w:keepLines/>
      </w:pPr>
      <w:r>
        <w:rPr>
          <w:b/>
        </w:rPr>
        <w:t xml:space="preserve">Further event evidence.  </w:t>
      </w:r>
      <w:r>
        <w:t>Match the actual commercial closure dates and area to permits, landings and crew earnings; distinguish fish-stock decline from the government's closure decision.</w:t>
      </w:r>
    </w:p>
    <w:p>
      <w:pPr>
        <w:keepLines/>
        <w:spacing w:after="120"/>
      </w:pPr>
      <w:r>
        <w:rPr>
          <w:b/>
        </w:rPr>
        <w:t xml:space="preserve">Sources and citation check.  </w:t>
      </w:r>
      <w:hyperlink r:id="rId44">
        <w:r>
          <w:rPr>
            <w:color w:val="185B83"/>
            <w:u w:val="single"/>
          </w:rPr>
          <w:t>Annual rule and inseason action (fisheries.noaa.gov)</w:t>
        </w:r>
      </w:hyperlink>
      <w:r>
        <w:t xml:space="preserve">.  </w:t>
      </w:r>
      <w:r>
        <w:t>Pass 2 source anchor reopened; action and scope reviewed at event level. This does not verify an individual worksite loss.</w:t>
      </w:r>
    </w:p>
    <w:p>
      <w:pPr>
        <w:pStyle w:val="Heading2"/>
      </w:pPr>
      <w:r>
        <w:t>C-036C  2025 California and southern Oregon salmon restrictions</w:t>
      </w:r>
    </w:p>
    <w:p>
      <w:pPr>
        <w:keepNext/>
        <w:keepLines/>
      </w:pPr>
      <w:r>
        <w:rPr>
          <w:b/>
        </w:rPr>
        <w:t xml:space="preserve">Why this qualifies.  </w:t>
      </w:r>
      <w:r>
        <w:t>NOAA closed or severely constrained 2025 commercial salmon opportunities off California and southern Oregon for stock conservation, affecting the existing fleet's earning season.</w:t>
      </w:r>
    </w:p>
    <w:p>
      <w:pPr>
        <w:keepLines/>
      </w:pPr>
      <w:r>
        <w:rPr>
          <w:b/>
        </w:rPr>
        <w:t xml:space="preserve">Screening disposition.  </w:t>
      </w:r>
      <w:r>
        <w:t>Qualifying seasonal fishery restriction; vessel and crew effects remain to be measured.</w:t>
      </w:r>
    </w:p>
    <w:p>
      <w:pPr>
        <w:keepLines/>
      </w:pPr>
      <w:r>
        <w:rPr>
          <w:b/>
        </w:rPr>
        <w:t xml:space="preserve">Government action and scope.  </w:t>
      </w:r>
      <w:r>
        <w:t>NOAA Fisheries | 2025 | Annual rule and inseason action. NOAA's 2025 final rule closed or severely constrained commercial salmon fishing off California and southern Oregon for a third year.</w:t>
      </w:r>
    </w:p>
    <w:p>
      <w:pPr>
        <w:keepLines/>
      </w:pPr>
      <w:r>
        <w:rPr>
          <w:b/>
        </w:rPr>
        <w:t xml:space="preserve">Worksite and group record.  </w:t>
      </w:r>
      <w:r>
        <w:t>No vessel or crew cohort tied to this exact season and area.</w:t>
      </w:r>
    </w:p>
    <w:p>
      <w:pPr>
        <w:keepLines/>
      </w:pPr>
      <w:r>
        <w:rPr>
          <w:b/>
        </w:rPr>
        <w:t xml:space="preserve">Causation and legal limits.  </w:t>
      </w:r>
      <w:r>
        <w:t>Stock condition, geography, alternate seasons and fisheries are material.</w:t>
      </w:r>
    </w:p>
    <w:p>
      <w:pPr>
        <w:keepLines/>
      </w:pPr>
      <w:r>
        <w:rPr>
          <w:b/>
        </w:rPr>
        <w:t xml:space="preserve">Further event evidence.  </w:t>
      </w:r>
      <w:r>
        <w:t>Match the actual commercial closure dates and area to permits, landings and crew earnings; distinguish fish-stock decline from the government's closure decision.</w:t>
      </w:r>
    </w:p>
    <w:p>
      <w:pPr>
        <w:keepLines/>
        <w:spacing w:after="120"/>
      </w:pPr>
      <w:r>
        <w:rPr>
          <w:b/>
        </w:rPr>
        <w:t xml:space="preserve">Sources and citation check.  </w:t>
      </w:r>
      <w:hyperlink r:id="rId45">
        <w:r>
          <w:rPr>
            <w:color w:val="185B83"/>
            <w:u w:val="single"/>
          </w:rPr>
          <w:t>Annual rule and inseason action (fisheries.noaa.gov)</w:t>
        </w:r>
      </w:hyperlink>
      <w:r>
        <w:t xml:space="preserve">.  </w:t>
      </w:r>
      <w:r>
        <w:t>Pass 2 source anchor reopened; action and scope reviewed at event level. This does not verify an individual worksite loss.</w:t>
      </w:r>
    </w:p>
    <w:p>
      <w:pPr>
        <w:pStyle w:val="Heading2"/>
      </w:pPr>
      <w:r>
        <w:t>C-036D  2026 California and southern Oregon salmon restrictions</w:t>
      </w:r>
    </w:p>
    <w:p>
      <w:pPr>
        <w:keepNext/>
        <w:keepLines/>
      </w:pPr>
      <w:r>
        <w:rPr>
          <w:b/>
        </w:rPr>
        <w:t xml:space="preserve">Why this qualifies.  </w:t>
      </w:r>
      <w:r>
        <w:t>NOAA imposed specified 2026 commercial salmon closures for stock protection, removing legal fishing opportunities from established vessels and crews in those areas.</w:t>
      </w:r>
    </w:p>
    <w:p>
      <w:pPr>
        <w:keepLines/>
      </w:pPr>
      <w:r>
        <w:rPr>
          <w:b/>
        </w:rPr>
        <w:t xml:space="preserve">Screening disposition.  </w:t>
      </w:r>
      <w:r>
        <w:t>Qualifying seasonal fishery restriction; vessel and crew effects remain to be measured.</w:t>
      </w:r>
    </w:p>
    <w:p>
      <w:pPr>
        <w:keepLines/>
      </w:pPr>
      <w:r>
        <w:rPr>
          <w:b/>
        </w:rPr>
        <w:t xml:space="preserve">Government action and scope.  </w:t>
      </w:r>
      <w:r>
        <w:t>NOAA Fisheries | 2026 | Annual rule and inseason action. NOAA's 2026 inseason actions closed specified commercial salmon troll areas and dates south of Cape Falcon.</w:t>
      </w:r>
    </w:p>
    <w:p>
      <w:pPr>
        <w:keepLines/>
      </w:pPr>
      <w:r>
        <w:rPr>
          <w:b/>
        </w:rPr>
        <w:t xml:space="preserve">Worksite and group record.  </w:t>
      </w:r>
      <w:r>
        <w:t>No vessel or crew cohort tied to this exact season and area.</w:t>
      </w:r>
    </w:p>
    <w:p>
      <w:pPr>
        <w:keepLines/>
      </w:pPr>
      <w:r>
        <w:rPr>
          <w:b/>
        </w:rPr>
        <w:t xml:space="preserve">Causation and legal limits.  </w:t>
      </w:r>
      <w:r>
        <w:t>Stock condition, geography, alternate seasons and fisheries are material.</w:t>
      </w:r>
    </w:p>
    <w:p>
      <w:pPr>
        <w:keepLines/>
      </w:pPr>
      <w:r>
        <w:rPr>
          <w:b/>
        </w:rPr>
        <w:t xml:space="preserve">Further event evidence.  </w:t>
      </w:r>
      <w:r>
        <w:t>Match the actual commercial closure dates and area to permits, landings and crew earnings; distinguish fish-stock decline from the government's closure decision.</w:t>
      </w:r>
    </w:p>
    <w:p>
      <w:pPr>
        <w:keepLines/>
        <w:spacing w:after="120"/>
      </w:pPr>
      <w:r>
        <w:rPr>
          <w:b/>
        </w:rPr>
        <w:t xml:space="preserve">Sources and citation check.  </w:t>
      </w:r>
      <w:hyperlink r:id="rId46">
        <w:r>
          <w:rPr>
            <w:color w:val="185B83"/>
            <w:u w:val="single"/>
          </w:rPr>
          <w:t>Annual rule and inseason action (fisheries.noaa.gov)</w:t>
        </w:r>
      </w:hyperlink>
      <w:r>
        <w:t xml:space="preserve">.  </w:t>
      </w:r>
      <w:r>
        <w:t>Pass 2 source anchor reopened; action and scope reviewed at event level. This does not verify an individual worksite loss.</w:t>
      </w:r>
    </w:p>
    <w:p>
      <w:pPr>
        <w:pStyle w:val="Heading2"/>
      </w:pPr>
      <w:r>
        <w:t>C-037  California commercial fur trapping, AB 273</w:t>
      </w:r>
    </w:p>
    <w:p>
      <w:pPr>
        <w:keepNext/>
        <w:keepLines/>
      </w:pPr>
      <w:r>
        <w:rPr>
          <w:b/>
        </w:rPr>
        <w:t xml:space="preserve">Why this qualifies.  </w:t>
      </w:r>
      <w:r>
        <w:t>California ended commercial fur trapping for animal welfare, taking away the covered activity of existing trappers and fur dealers.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statute ended commercial fur trapping and fur-dealer licensing. Identify trappers and dealers whose established trade was materially affected.</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State administrative and constitutional review; no successful invalidation established.</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47">
        <w:r>
          <w:rPr>
            <w:color w:val="185B83"/>
            <w:u w:val="single"/>
          </w:rPr>
          <w:t>California Department of Fish and Wildlife (wildlife.ca.gov)</w:t>
        </w:r>
      </w:hyperlink>
      <w:r>
        <w:t xml:space="preserve">.  </w:t>
      </w:r>
      <w:r>
        <w:t>Pass 2 source anchor reopened; action and scope reviewed at event level. This does not verify an individual worksite loss.</w:t>
      </w:r>
    </w:p>
    <w:p>
      <w:pPr>
        <w:pStyle w:val="Heading2"/>
      </w:pPr>
      <w:r>
        <w:t>C-038  San Francisco fur sales and manufacture ban</w:t>
      </w:r>
    </w:p>
    <w:p>
      <w:pPr>
        <w:keepNext/>
        <w:keepLines/>
      </w:pPr>
      <w:r>
        <w:rPr>
          <w:b/>
        </w:rPr>
        <w:t xml:space="preserve">Why this qualifies.  </w:t>
      </w:r>
      <w:r>
        <w:t>San Francisco banned new-fur sales and manufacture for animal welfare, materially reducing the lawful trade of fur-specialty sellers and makers.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Local prohibition with a sell-through period. Specialty shops differ from diversified stores; do not duplicate later statewide losses.</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The fur trade brought dormant Commerce Clause and scope challenges; district court dismissed.</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48">
        <w:r>
          <w:rPr>
            <w:color w:val="185B83"/>
            <w:u w:val="single"/>
          </w:rPr>
          <w:t>District court opinion (courthousenews.com)</w:t>
        </w:r>
      </w:hyperlink>
      <w:r>
        <w:t xml:space="preserve">.  </w:t>
      </w:r>
      <w:r>
        <w:t>Pass 2 source anchor reopened; action and scope reviewed at event level. This does not verify an individual worksite loss.</w:t>
      </w:r>
    </w:p>
    <w:p>
      <w:pPr>
        <w:pStyle w:val="Heading2"/>
      </w:pPr>
      <w:r>
        <w:t>C-039  California new-fur sales and manufacture, AB 44</w:t>
      </w:r>
    </w:p>
    <w:p>
      <w:pPr>
        <w:keepNext/>
        <w:keepLines/>
      </w:pPr>
      <w:r>
        <w:rPr>
          <w:b/>
        </w:rPr>
        <w:t xml:space="preserve">Why this qualifies.  </w:t>
      </w:r>
      <w:r>
        <w:t>California's statewide new-fur ban pursued animal welfare by ending that established product market for affected makers and retailers.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Statewide product-line prohibition operative in 2023, with used-fur and other exceptions; exclude any already displaced by local bans.</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Scope, preemption and constitutional theories require case-specific analysis.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49">
        <w:r>
          <w:rPr>
            <w:color w:val="185B83"/>
            <w:u w:val="single"/>
          </w:rPr>
          <w:t>California Legislature (leginfo.legislature.ca.gov)</w:t>
        </w:r>
      </w:hyperlink>
      <w:r>
        <w:t xml:space="preserve">.  </w:t>
      </w:r>
      <w:r>
        <w:t>Pass 2 source anchor reopened; action and scope reviewed at event level. This does not verify an individual worksite loss.</w:t>
      </w:r>
    </w:p>
    <w:p>
      <w:pPr>
        <w:pStyle w:val="Heading2"/>
      </w:pPr>
      <w:r>
        <w:t>C-040  California force-fed foie gras</w:t>
      </w:r>
    </w:p>
    <w:p>
      <w:pPr>
        <w:keepNext/>
        <w:keepLines/>
      </w:pPr>
      <w:r>
        <w:rPr>
          <w:b/>
        </w:rPr>
        <w:t xml:space="preserve">Why this qualifies.  </w:t>
      </w:r>
      <w:r>
        <w:t>California prohibited sale of force-fed foie gras for animal welfare, eliminating the in-state market of its existing producer and materially affecting specialty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only California producer closed after a long statutory transition; worksite effects require evidence. Restaurant sellers have a different exposure from the former producer.</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Poultry Products Inspection Act preemption, due process and Commerce Clause theories were litigated; core in-state sales rule survived.</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0">
        <w:r>
          <w:rPr>
            <w:color w:val="185B83"/>
            <w:u w:val="single"/>
          </w:rPr>
          <w:t>Ninth Circuit opinion (law.justia.com)</w:t>
        </w:r>
      </w:hyperlink>
      <w:r>
        <w:t xml:space="preserve">.  </w:t>
      </w:r>
      <w:r>
        <w:t>Pass 2 source anchor reopened; action and scope reviewed at event level. This does not verify an individual worksite loss.</w:t>
      </w:r>
    </w:p>
    <w:p>
      <w:pPr>
        <w:pStyle w:val="Heading2"/>
      </w:pPr>
      <w:r>
        <w:t>C-041  Massachusetts commercial greyhound racing</w:t>
      </w:r>
    </w:p>
    <w:p>
      <w:pPr>
        <w:keepNext/>
        <w:keepLines/>
      </w:pPr>
      <w:r>
        <w:rPr>
          <w:b/>
        </w:rPr>
        <w:t xml:space="preserve">Why this qualifies.  </w:t>
      </w:r>
      <w:r>
        <w:t>Massachusetts ended commercial greyhound racing for animal welfare, directly removing the established work of racing tracks and kennels.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2008 ban targeted racing. A separate 2010 act authorized use of up to $300,000 for displaced-worker retraining, subject to conditions; no payment record reviewed.</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Initiative relatedness challenges affected ballot access; the 2008 measure survived.</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1">
        <w:r>
          <w:rPr>
            <w:color w:val="185B83"/>
            <w:u w:val="single"/>
          </w:rPr>
          <w:t>Massachusetts 2008 enacted law (malegislature.gov)</w:t>
        </w:r>
      </w:hyperlink>
      <w:r>
        <w:t xml:space="preserve">; </w:t>
      </w:r>
      <w:hyperlink r:id="rId52">
        <w:r>
          <w:rPr>
            <w:color w:val="185B83"/>
            <w:u w:val="single"/>
          </w:rPr>
          <w:t>Additional legal or source record (malegislature.gov)</w:t>
        </w:r>
      </w:hyperlink>
      <w:r>
        <w:t xml:space="preserve">.  </w:t>
      </w:r>
      <w:r>
        <w:t>Pass 2 source anchor reopened; action and scope reviewed at event level. This does not verify an individual worksite loss.</w:t>
      </w:r>
    </w:p>
    <w:p>
      <w:pPr>
        <w:pStyle w:val="Heading2"/>
      </w:pPr>
      <w:r>
        <w:t>C-042  Arizona live greyhound racing</w:t>
      </w:r>
    </w:p>
    <w:p>
      <w:pPr>
        <w:keepNext/>
        <w:keepLines/>
      </w:pPr>
      <w:r>
        <w:rPr>
          <w:b/>
        </w:rPr>
        <w:t xml:space="preserve">Why this qualifies.  </w:t>
      </w:r>
      <w:r>
        <w:t>Arizona ended live greyhound races for animal welfare, taking away live-racing work even while simulcast wagering continued.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Live races ended in 2016; simulcast and related wagering survived. Identify which workers actually exited the trade.</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License and statutory challenges were possible; no successful broad merits challenge found in the earlier pass.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3">
        <w:r>
          <w:rPr>
            <w:color w:val="185B83"/>
            <w:u w:val="single"/>
          </w:rPr>
          <w:t>Arizona Department of Gaming (gaming.az.gov)</w:t>
        </w:r>
      </w:hyperlink>
      <w:r>
        <w:t xml:space="preserve">.  </w:t>
      </w:r>
      <w:r>
        <w:t>Pass 2 direct fetch failed; prior official citation or indexed result retained. Reopen the underlying text before worksite certification.</w:t>
      </w:r>
    </w:p>
    <w:p>
      <w:pPr>
        <w:pStyle w:val="Heading2"/>
      </w:pPr>
      <w:r>
        <w:t>C-043  California circus use of wild animals, SB 313</w:t>
      </w:r>
    </w:p>
    <w:p>
      <w:pPr>
        <w:keepNext/>
        <w:keepLines/>
      </w:pPr>
      <w:r>
        <w:rPr>
          <w:b/>
        </w:rPr>
        <w:t xml:space="preserve">Why this qualifies.  </w:t>
      </w:r>
      <w:r>
        <w:t>California barred wild animals from circus performances for animal welfare, materially restricting existing trainers and touring shows in the state.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Direct ban of an animal-performance line. A trainer’s loss requires work and geographic causation records.</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Statutory coverage and any viable constitutional or preemption claim are event-specific.</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4">
        <w:r>
          <w:rPr>
            <w:color w:val="185B83"/>
            <w:u w:val="single"/>
          </w:rPr>
          <w:t>California Governor (gov.ca.gov)</w:t>
        </w:r>
      </w:hyperlink>
      <w:r>
        <w:t xml:space="preserve">.  </w:t>
      </w:r>
      <w:r>
        <w:t>Pass 2 source anchor reopened; action and scope reviewed at event level. This does not verify an individual worksite loss.</w:t>
      </w:r>
    </w:p>
    <w:p>
      <w:pPr>
        <w:pStyle w:val="Heading2"/>
      </w:pPr>
      <w:r>
        <w:t>C-044  Chicago horse-drawn carriage for hire</w:t>
      </w:r>
    </w:p>
    <w:p>
      <w:pPr>
        <w:keepNext/>
        <w:keepLines/>
      </w:pPr>
      <w:r>
        <w:rPr>
          <w:b/>
        </w:rPr>
        <w:t xml:space="preserve">Why this qualifies.  </w:t>
      </w:r>
      <w:r>
        <w:t>Chicago banned horse-drawn carriage service for animal welfare and street policy, removing an established local trade for operators and drivers.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Municipal prohibition may have displaced carriage operators and drivers whose established work was carriage service.</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Municipal power, license, process and constitutional review require record development.</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5">
        <w:r>
          <w:rPr>
            <w:color w:val="185B83"/>
            <w:u w:val="single"/>
          </w:rPr>
          <w:t>Chicago municipal code (codelibrary.amlegal.com)</w:t>
        </w:r>
      </w:hyperlink>
      <w:r>
        <w:t xml:space="preserve">.  </w:t>
      </w:r>
      <w:r>
        <w:t>Pass 2 source anchor reopened; action and scope reviewed at event level. This does not verify an individual worksite loss.</w:t>
      </w:r>
    </w:p>
    <w:p>
      <w:pPr>
        <w:pStyle w:val="Heading2"/>
      </w:pPr>
      <w:r>
        <w:t>C-046  South Carolina video poker, Act 125</w:t>
      </w:r>
    </w:p>
    <w:p>
      <w:pPr>
        <w:keepNext/>
        <w:keepLines/>
      </w:pPr>
      <w:r>
        <w:rPr>
          <w:b/>
        </w:rPr>
        <w:t xml:space="preserve">Why this qualifies.  </w:t>
      </w:r>
      <w:r>
        <w:t>South Carolina ended the legal video-poker business to address gambling harms, cutting off an existing industry of machine operators and venues.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law removed the exemption on which an established industry operated. Facility and group work records remain needed.</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The state supreme court rejected an injunction and constitutional attack on newly contraband machines.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6">
        <w:r>
          <w:rPr>
            <w:color w:val="185B83"/>
            <w:u w:val="single"/>
          </w:rPr>
          <w:t>South Carolina Supreme Court opinion (law.justia.com)</w:t>
        </w:r>
      </w:hyperlink>
      <w:r>
        <w:t xml:space="preserve">.  </w:t>
      </w:r>
      <w:r>
        <w:t>Pass 2 source anchor reopened; action and scope reviewed at event level. This does not verify an individual worksite loss.</w:t>
      </w:r>
    </w:p>
    <w:p>
      <w:pPr>
        <w:pStyle w:val="Heading2"/>
      </w:pPr>
      <w:r>
        <w:t>C-047  North Carolina electronic sweepstakes</w:t>
      </w:r>
    </w:p>
    <w:p>
      <w:pPr>
        <w:keepNext/>
        <w:keepLines/>
      </w:pPr>
      <w:r>
        <w:rPr>
          <w:b/>
        </w:rPr>
        <w:t xml:space="preserve">Why this qualifies.  </w:t>
      </w:r>
      <w:r>
        <w:t>North Carolina prohibited specified electronic sweepstakes to control gambling, materially restricting businesses already operating those games.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legislature targeted specified electronic displays. Verify that each pre-ban operation was lawful.</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State supreme court rejected First Amendment and state constitutional challenges in Hest Technologies.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7">
        <w:r>
          <w:rPr>
            <w:color w:val="185B83"/>
            <w:u w:val="single"/>
          </w:rPr>
          <w:t>North Carolina courts (nccourts.gov)</w:t>
        </w:r>
      </w:hyperlink>
      <w:r>
        <w:t xml:space="preserve">.  </w:t>
      </w:r>
      <w:r>
        <w:t>Pass 2 source anchor reopened; action and scope reviewed at event level. This does not verify an individual worksite loss.</w:t>
      </w:r>
    </w:p>
    <w:p>
      <w:pPr>
        <w:pStyle w:val="Heading2"/>
      </w:pPr>
      <w:r>
        <w:t>C-049  Arizona payday lending sunset</w:t>
      </w:r>
    </w:p>
    <w:p>
      <w:pPr>
        <w:keepNext/>
        <w:keepLines/>
      </w:pPr>
      <w:r>
        <w:rPr>
          <w:b/>
        </w:rPr>
        <w:t xml:space="preserve">Why this qualifies.  </w:t>
      </w:r>
      <w:r>
        <w:t>Arizona allowed payday-lending authority to expire to protect borrowers, ending the distinctive legal product of existing licensed lenders.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Authority for the distinctive loan product expired in 2010 under a preexisting sunset. The policy must decide how known temporary authorization affects reliance.</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Licensing interpretation and constitutional routes were available; no indefinite renewal entitlement should be presumed.</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8">
        <w:r>
          <w:rPr>
            <w:color w:val="185B83"/>
            <w:u w:val="single"/>
          </w:rPr>
          <w:t>Arizona Department of Insurance and Financial Institutions (difi.az.gov)</w:t>
        </w:r>
      </w:hyperlink>
      <w:r>
        <w:t xml:space="preserve">.  </w:t>
      </w:r>
      <w:r>
        <w:t>Pass 2 direct fetch failed; prior official citation or indexed result retained. Reopen the underlying text before worksite certification.</w:t>
      </w:r>
    </w:p>
    <w:p>
      <w:pPr>
        <w:pStyle w:val="Heading2"/>
      </w:pPr>
      <w:r>
        <w:t>C-050  South Dakota payday loan rate cap</w:t>
      </w:r>
    </w:p>
    <w:p>
      <w:pPr>
        <w:keepNext/>
        <w:keepLines/>
      </w:pPr>
      <w:r>
        <w:rPr>
          <w:b/>
        </w:rPr>
        <w:t xml:space="preserve">Why this qualifies.  </w:t>
      </w:r>
      <w:r>
        <w:t>South Dakota capped covered loan charges for borrower protection, directly and materially reducing the permissible revenue model of existing high-cost lenders.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2016 initiative capped total charges on covered loans at 36 percent. This directly changed the terms on which established high-cost lenders could operate.</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Licensing and constitutional litigation can test particular regulator decisions.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59">
        <w:r>
          <w:rPr>
            <w:color w:val="185B83"/>
            <w:u w:val="single"/>
          </w:rPr>
          <w:t>Eighth Circuit opinion (law.justia.com)</w:t>
        </w:r>
      </w:hyperlink>
      <w:r>
        <w:t xml:space="preserve">; </w:t>
      </w:r>
      <w:hyperlink r:id="rId60">
        <w:r>
          <w:rPr>
            <w:color w:val="185B83"/>
            <w:u w:val="single"/>
          </w:rPr>
          <w:t>South Dakota cap and licensing guidance</w:t>
        </w:r>
      </w:hyperlink>
      <w:r>
        <w:t xml:space="preserve">.  </w:t>
      </w:r>
      <w:r>
        <w:t>Pass 2 source anchor reopened; action and scope reviewed at event level. This does not verify an individual worksite loss.</w:t>
      </w:r>
    </w:p>
    <w:p>
      <w:pPr>
        <w:pStyle w:val="Heading2"/>
      </w:pPr>
      <w:r>
        <w:t>C-051  Montana high-cost loan rate cap, I-164</w:t>
      </w:r>
    </w:p>
    <w:p>
      <w:pPr>
        <w:keepNext/>
        <w:keepLines/>
      </w:pPr>
      <w:r>
        <w:rPr>
          <w:b/>
        </w:rPr>
        <w:t xml:space="preserve">Why this qualifies.  </w:t>
      </w:r>
      <w:r>
        <w:t>Montana capped high-cost loan charges for borrower protection, materially changing the lending terms and continued viability of existing licensees.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2010 initiative imposed a 36 percent ceiling on covered consumer loans. The state separately surveyed whether affected licensees would renew.</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Initiative, licensing and constitutional challenges depend on a specific affected group.</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61">
        <w:r>
          <w:rPr>
            <w:color w:val="185B83"/>
            <w:u w:val="single"/>
          </w:rPr>
          <w:t>Montana Secretary of State (sosmt.gov)</w:t>
        </w:r>
      </w:hyperlink>
      <w:r>
        <w:t xml:space="preserve">; </w:t>
      </w:r>
      <w:hyperlink r:id="rId62">
        <w:r>
          <w:rPr>
            <w:color w:val="185B83"/>
            <w:u w:val="single"/>
          </w:rPr>
          <w:t>Montana licensee survey</w:t>
        </w:r>
      </w:hyperlink>
      <w:r>
        <w:t xml:space="preserve">.  </w:t>
      </w:r>
      <w:r>
        <w:t>Pass 2 source anchor reopened; action and scope reviewed at event level. This does not verify an individual worksite loss.</w:t>
      </w:r>
    </w:p>
    <w:p>
      <w:pPr>
        <w:pStyle w:val="Heading2"/>
      </w:pPr>
      <w:r>
        <w:t>C-052  Massachusetts 2019 temporary vaping sales ban</w:t>
      </w:r>
    </w:p>
    <w:p>
      <w:pPr>
        <w:keepNext/>
        <w:keepLines/>
      </w:pPr>
      <w:r>
        <w:rPr>
          <w:b/>
        </w:rPr>
        <w:t xml:space="preserve">Why this qualifies.  </w:t>
      </w:r>
      <w:r>
        <w:t>Massachusetts temporarily stopped vaping-product sales to protect public health, depriving existing specialty retailers of their covered merchandise during the order.</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emergency shutdown caused temporary lost sales; its duration and effect on specialty stores should be measured.</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Emergency authority and procedural challenges were litigated in state and federal court.</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63">
        <w:r>
          <w:rPr>
            <w:color w:val="185B83"/>
            <w:u w:val="single"/>
          </w:rPr>
          <w:t>Massachusetts emergency order (mass.gov)</w:t>
        </w:r>
      </w:hyperlink>
      <w:r>
        <w:t xml:space="preserve">; </w:t>
      </w:r>
      <w:hyperlink r:id="rId64">
        <w:r>
          <w:rPr>
            <w:color w:val="185B83"/>
            <w:u w:val="single"/>
          </w:rPr>
          <w:t>Additional legal or source record (mass.gov)</w:t>
        </w:r>
      </w:hyperlink>
      <w:r>
        <w:t xml:space="preserve">.  </w:t>
      </w:r>
      <w:r>
        <w:t>Pass 2: 24 September 2019 emergency order retrieved; temporary scope and later injunctions limit attribution.</w:t>
      </w:r>
    </w:p>
    <w:p>
      <w:pPr>
        <w:pStyle w:val="Heading2"/>
      </w:pPr>
      <w:r>
        <w:t>C-054  New York 2020 flavored nicotine vapor sales ban</w:t>
      </w:r>
    </w:p>
    <w:p>
      <w:pPr>
        <w:keepNext/>
        <w:keepLines/>
      </w:pPr>
      <w:r>
        <w:rPr>
          <w:b/>
        </w:rPr>
        <w:t xml:space="preserve">Why this qualifies.  </w:t>
      </w:r>
      <w:r>
        <w:t>New York banned defined flavored nicotine-vapor sales for public health, removing an established product market from specialty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permanent statutory rule separately prohibited defined flavored vapor products; isolate losses from the 2019 attempted rule.</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Scope, constitutional and any viable federal-preemption issues are fact-specific.</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65">
        <w:r>
          <w:rPr>
            <w:color w:val="185B83"/>
            <w:u w:val="single"/>
          </w:rPr>
          <w:t>New York Department of Health guidance (health.ny.gov)</w:t>
        </w:r>
      </w:hyperlink>
      <w:r>
        <w:t xml:space="preserve">; </w:t>
      </w:r>
      <w:hyperlink r:id="rId66">
        <w:r>
          <w:rPr>
            <w:color w:val="185B83"/>
            <w:u w:val="single"/>
          </w:rPr>
          <w:t>Additional legal or source record (health.ny.gov)</w:t>
        </w:r>
      </w:hyperlink>
      <w:r>
        <w:t xml:space="preserve">.  </w:t>
      </w:r>
      <w:r>
        <w:t>Pass 2: NYSDOH release confirms 18 May 2020 sales prohibition; guidance PDF may block direct fetching.</w:t>
      </w:r>
    </w:p>
    <w:p>
      <w:pPr>
        <w:pStyle w:val="Heading2"/>
      </w:pPr>
      <w:r>
        <w:t>C-055  Massachusetts permanent flavored-tobacco ban</w:t>
      </w:r>
    </w:p>
    <w:p>
      <w:pPr>
        <w:keepNext/>
        <w:keepLines/>
      </w:pPr>
      <w:r>
        <w:rPr>
          <w:b/>
        </w:rPr>
        <w:t xml:space="preserve">Why this qualifies.  </w:t>
      </w:r>
      <w:r>
        <w:t>Massachusetts banned flavored tobacco products for public health, materially reducing lawful sales for dependent retailers and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The statute directly restricted menthol and flavored tobacco products, subject to exceptions. Focus on dependent workers and businesses.</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Federal Tobacco Control Act preemption, statutory scope and state-law review are possible.</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67">
        <w:r>
          <w:rPr>
            <w:color w:val="185B83"/>
            <w:u w:val="single"/>
          </w:rPr>
          <w:t>Massachusetts Legislature (malegislature.gov)</w:t>
        </w:r>
      </w:hyperlink>
      <w:r>
        <w:t xml:space="preserve">.  </w:t>
      </w:r>
      <w:r>
        <w:t>Pass 2 direct fetch failed; prior official citation or indexed result retained. Reopen the underlying text before worksite certification.</w:t>
      </w:r>
    </w:p>
    <w:p>
      <w:pPr>
        <w:pStyle w:val="Heading2"/>
      </w:pPr>
      <w:r>
        <w:t>C-056  Los Angeles County flavored-tobacco ban</w:t>
      </w:r>
    </w:p>
    <w:p>
      <w:pPr>
        <w:keepNext/>
        <w:keepLines/>
      </w:pPr>
      <w:r>
        <w:rPr>
          <w:b/>
        </w:rPr>
        <w:t xml:space="preserve">Why this qualifies.  </w:t>
      </w:r>
      <w:r>
        <w:t>Los Angeles County restricted flavored-tobacco sales to protect health, directly removing a covered market for existing sellers in the county.</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Local sales restriction; measure the material effect on workers and specialty sellers of that product line.</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Ninth Circuit rejected federal Tobacco Control Act preemption of the sales ordinance.</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68">
        <w:r>
          <w:rPr>
            <w:color w:val="185B83"/>
            <w:u w:val="single"/>
          </w:rPr>
          <w:t>Ninth Circuit opinion (cdn.ca9.uscourts.gov)</w:t>
        </w:r>
      </w:hyperlink>
      <w:r>
        <w:t xml:space="preserve">.  </w:t>
      </w:r>
      <w:r>
        <w:t>Pass 2 PDF anchor checked by source identity; automated extraction is limited. Action scope is subject to the linked text and worksite effects remain unproved.</w:t>
      </w:r>
    </w:p>
    <w:p>
      <w:pPr>
        <w:pStyle w:val="Heading2"/>
      </w:pPr>
      <w:r>
        <w:t>C-057  California statewide flavored-tobacco ban</w:t>
      </w:r>
    </w:p>
    <w:p>
      <w:pPr>
        <w:keepNext/>
        <w:keepLines/>
      </w:pPr>
      <w:r>
        <w:rPr>
          <w:b/>
        </w:rPr>
        <w:t xml:space="preserve">Why this qualifies.  </w:t>
      </w:r>
      <w:r>
        <w:t>California's statewide flavored-tobacco ban sought public-health benefits while taking an established product category from affected retailers and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Statewide prohibition after the referendum. Avoid duplicate attribution with earlier local restrictions.</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Federal preemption litigation did not stop the law; Supreme Court denied emergency relief and certiorari.</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69">
        <w:r>
          <w:rPr>
            <w:color w:val="185B83"/>
            <w:u w:val="single"/>
          </w:rPr>
          <w:t>California Senate enacted SB 793 (shea.senate.ca.gov)</w:t>
        </w:r>
      </w:hyperlink>
      <w:r>
        <w:t xml:space="preserve">; </w:t>
      </w:r>
      <w:hyperlink r:id="rId70">
        <w:r>
          <w:rPr>
            <w:color w:val="185B83"/>
            <w:u w:val="single"/>
          </w:rPr>
          <w:t>Additional legal or source record (supremecourt.gov)</w:t>
        </w:r>
      </w:hyperlink>
      <w:r>
        <w:t xml:space="preserve">.  </w:t>
      </w:r>
      <w:r>
        <w:t>Pass 2 source anchor reopened; action and scope reviewed at event level. This does not verify an individual worksite loss.</w:t>
      </w:r>
    </w:p>
    <w:p>
      <w:pPr>
        <w:pStyle w:val="Heading2"/>
      </w:pPr>
      <w:r>
        <w:t>C-058  San Francisco e-cigarettes without FDA marketing orders</w:t>
      </w:r>
    </w:p>
    <w:p>
      <w:pPr>
        <w:keepNext/>
        <w:keepLines/>
      </w:pPr>
      <w:r>
        <w:rPr>
          <w:b/>
        </w:rPr>
        <w:t xml:space="preserve">Why this qualifies.  </w:t>
      </w:r>
      <w:r>
        <w:t>San Francisco barred sale of e-cigarettes without federal marketing orders for health reasons, materially restricting existing local sellers of those products.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City restricted sale of products lacking FDA orders. Product authorization and exact dates determine the actual shutdown.</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Tobacco Control Act preemption, local scope and enforcement challenges require closer review.</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71">
        <w:r>
          <w:rPr>
            <w:color w:val="185B83"/>
            <w:u w:val="single"/>
          </w:rPr>
          <w:t>San Francisco legislative file 190312 (sfgov.legistar.com)</w:t>
        </w:r>
      </w:hyperlink>
      <w:r>
        <w:t xml:space="preserve">; </w:t>
      </w:r>
      <w:hyperlink r:id="rId72">
        <w:r>
          <w:rPr>
            <w:color w:val="185B83"/>
            <w:u w:val="single"/>
          </w:rPr>
          <w:t>Additional legal or source record (sfbos.org)</w:t>
        </w:r>
      </w:hyperlink>
      <w:r>
        <w:t xml:space="preserve">.  </w:t>
      </w:r>
      <w:r>
        <w:t>Pass 2 source anchor reopened; action and scope reviewed at event level. This does not verify an individual worksite loss.</w:t>
      </w:r>
    </w:p>
    <w:p>
      <w:pPr>
        <w:pStyle w:val="Heading2"/>
      </w:pPr>
      <w:r>
        <w:t>C-059  Beverly Hills general tobacco sales ban</w:t>
      </w:r>
    </w:p>
    <w:p>
      <w:pPr>
        <w:keepNext/>
        <w:keepLines/>
      </w:pPr>
      <w:r>
        <w:rPr>
          <w:b/>
        </w:rPr>
        <w:t xml:space="preserve">Why this qualifies.  </w:t>
      </w:r>
      <w:r>
        <w:t>Beverly Hills banned most ordinary tobacco retailing for health reasons, ending that trade for covered specialty stores despite narrow exceptions.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Near-total ordinary retail ban with cigar-lounge exceptions and hardship process. Specialty tobacco stores are a priority cohort.</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Apply hardship route, then judicial review; investigate federal and state challenges.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73">
        <w:r>
          <w:rPr>
            <w:color w:val="185B83"/>
            <w:u w:val="single"/>
          </w:rPr>
          <w:t>Beverly Hills business guidance (beverlyhills.gov)</w:t>
        </w:r>
      </w:hyperlink>
      <w:r>
        <w:t xml:space="preserve">; </w:t>
      </w:r>
      <w:hyperlink r:id="rId74">
        <w:r>
          <w:rPr>
            <w:color w:val="185B83"/>
            <w:u w:val="single"/>
          </w:rPr>
          <w:t>Additional legal or source record (beverlyhills.gov)</w:t>
        </w:r>
      </w:hyperlink>
      <w:r>
        <w:t xml:space="preserve">.  </w:t>
      </w:r>
      <w:r>
        <w:t>Pass 2 source anchor reopened; action and scope reviewed at event level. This does not verify an individual worksite loss.</w:t>
      </w:r>
    </w:p>
    <w:p>
      <w:pPr>
        <w:pStyle w:val="Heading2"/>
      </w:pPr>
      <w:r>
        <w:t>C-060  Manhattan Beach retail tobacco sales ban</w:t>
      </w:r>
    </w:p>
    <w:p>
      <w:pPr>
        <w:keepNext/>
        <w:keepLines/>
      </w:pPr>
      <w:r>
        <w:rPr>
          <w:b/>
        </w:rPr>
        <w:t xml:space="preserve">Why this qualifies.  </w:t>
      </w:r>
      <w:r>
        <w:t>Manhattan Beach ended tobacco retail sales to protect health, removing the covered line of business from existing local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Total local retail rule with hardship extensions. Examine stores that principally depended on the trade.</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Administrative hardship and judicial review, plus statutory challenges.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75">
        <w:r>
          <w:rPr>
            <w:color w:val="185B83"/>
            <w:u w:val="single"/>
          </w:rPr>
          <w:t>Manhattan Beach city overview (manhattanbeach.gov)</w:t>
        </w:r>
      </w:hyperlink>
      <w:r>
        <w:t xml:space="preserve">; </w:t>
      </w:r>
      <w:hyperlink r:id="rId76">
        <w:r>
          <w:rPr>
            <w:color w:val="185B83"/>
            <w:u w:val="single"/>
          </w:rPr>
          <w:t>Additional legal or source record (library.municode.com)</w:t>
        </w:r>
      </w:hyperlink>
      <w:r>
        <w:t xml:space="preserve">.  </w:t>
      </w:r>
      <w:r>
        <w:t>Pass 2: city announcement confirms its tobacco sales prohibition; ordinance and covered retailer records still warrant direct retrieval.</w:t>
      </w:r>
    </w:p>
    <w:p>
      <w:pPr>
        <w:pStyle w:val="Heading2"/>
      </w:pPr>
      <w:r>
        <w:t>C-062  1994 federal assault-weapon and magazine manufacture ban</w:t>
      </w:r>
    </w:p>
    <w:p>
      <w:pPr>
        <w:keepNext/>
        <w:keepLines/>
      </w:pPr>
      <w:r>
        <w:rPr>
          <w:b/>
        </w:rPr>
        <w:t xml:space="preserve">Why this qualifies.  </w:t>
      </w:r>
      <w:r>
        <w:t>Congress barred new manufacture of defined assault weapons and magazines for public safety, eliminating established product lines for named makers during the ban.</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Named manufacturers and dedicated inventory show targeted product lines; employee layoffs still require proof.</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D.C. Circuit rejected Commerce Clause and Bill of Attainder claims by manufacturers.</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77">
        <w:r>
          <w:rPr>
            <w:color w:val="185B83"/>
            <w:u w:val="single"/>
          </w:rPr>
          <w:t>D.C. Circuit opinion (law.justia.com)</w:t>
        </w:r>
      </w:hyperlink>
      <w:r>
        <w:t xml:space="preserve">.  </w:t>
      </w:r>
      <w:r>
        <w:t>Pass 2 source anchor reopened; action and scope reviewed at event level. This does not verify an individual worksite loss.</w:t>
      </w:r>
    </w:p>
    <w:p>
      <w:pPr>
        <w:pStyle w:val="Heading2"/>
      </w:pPr>
      <w:r>
        <w:t>C-063  ATF 2018 bump-stock rule</w:t>
      </w:r>
    </w:p>
    <w:p>
      <w:pPr>
        <w:keepNext/>
        <w:keepLines/>
      </w:pPr>
      <w:r>
        <w:rPr>
          <w:b/>
        </w:rPr>
        <w:t xml:space="preserve">Why this qualifies.  </w:t>
      </w:r>
      <w:r>
        <w:t>ATF's bump-stock rule removed an existing accessory market for public safety during its years of operation, materially affecting makers and sellers despite its later invalidation.</w:t>
      </w:r>
    </w:p>
    <w:p>
      <w:pPr>
        <w:keepLines/>
      </w:pPr>
      <w:r>
        <w:rPr>
          <w:b/>
        </w:rPr>
        <w:t xml:space="preserve">Screening disposition.  </w:t>
      </w:r>
      <w:r>
        <w:t>Qualifying interim market restriction; later judicial invalidation limits the period.</w:t>
      </w:r>
    </w:p>
    <w:p>
      <w:pPr>
        <w:keepLines/>
      </w:pPr>
      <w:r>
        <w:rPr>
          <w:b/>
        </w:rPr>
        <w:t xml:space="preserve">Government action and scope.  </w:t>
      </w:r>
      <w:r>
        <w:t>A multi-year product shutdown was later invalidated. Legal restoration does not itself prove an earlier livelihood was restored.</w:t>
      </w:r>
    </w:p>
    <w:p>
      <w:pPr>
        <w:keepLines/>
      </w:pPr>
      <w:r>
        <w:rPr>
          <w:b/>
        </w:rPr>
        <w:t xml:space="preserve">Worksite and group record.  </w:t>
      </w:r>
      <w:r>
        <w:t>A complete worksite or occupation group-separation record is not established in this census.</w:t>
      </w:r>
    </w:p>
    <w:p>
      <w:pPr>
        <w:keepLines/>
      </w:pPr>
      <w:r>
        <w:rPr>
          <w:b/>
        </w:rPr>
        <w:t xml:space="preserve">Causation and legal limits.  </w:t>
      </w:r>
      <w:r>
        <w:t>The Supreme Court invalidated the rule on statutory authority grounds in Garland v. Cargill.</w:t>
      </w:r>
    </w:p>
    <w:p>
      <w:pPr>
        <w:keepLines/>
      </w:pPr>
      <w:r>
        <w:rPr>
          <w:b/>
        </w:rPr>
        <w:t xml:space="preserve">Further event evidence.  </w:t>
      </w:r>
      <w:r>
        <w:t>Define the covered worksite or occupation and causal period; collect group separation counts and contrary evidence.</w:t>
      </w:r>
    </w:p>
    <w:p>
      <w:pPr>
        <w:keepLines/>
        <w:spacing w:after="120"/>
      </w:pPr>
      <w:r>
        <w:rPr>
          <w:b/>
        </w:rPr>
        <w:t xml:space="preserve">Sources and citation check.  </w:t>
      </w:r>
      <w:hyperlink r:id="rId78">
        <w:r>
          <w:rPr>
            <w:color w:val="185B83"/>
            <w:u w:val="single"/>
          </w:rPr>
          <w:t>Supreme Court opinion (supremecourt.gov)</w:t>
        </w:r>
      </w:hyperlink>
      <w:r>
        <w:t xml:space="preserve">.  </w:t>
      </w:r>
      <w:r>
        <w:t>Pass 2 source anchor reopened; action and scope reviewed at event level. This does not verify an individual worksite loss.</w:t>
      </w:r>
    </w:p>
    <w:p>
      <w:pPr>
        <w:pStyle w:val="Heading2"/>
      </w:pPr>
      <w:r>
        <w:t>C-066  Endosulfan pesticide phaseout</w:t>
      </w:r>
    </w:p>
    <w:p>
      <w:pPr>
        <w:keepNext/>
        <w:keepLines/>
      </w:pPr>
      <w:r>
        <w:rPr>
          <w:b/>
        </w:rPr>
        <w:t xml:space="preserve">Why this qualifies.  </w:t>
      </w:r>
      <w:r>
        <w:t>EPA phased out registered endosulfan uses for health and environmental protection, ending an established pesticide product market for affected registrants.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FIFRA. EPA and registrants agreed in 2010 to cancel all registered uses. A pesticide manufacturer’s dedicated line is a lead; agrarian substitution is a competing cause for downstream workers.</w:t>
      </w:r>
    </w:p>
    <w:p>
      <w:pPr>
        <w:keepLines/>
      </w:pPr>
      <w:r>
        <w:rPr>
          <w:b/>
        </w:rPr>
        <w:t xml:space="preserve">Worksite and group record.  </w:t>
      </w:r>
      <w:r>
        <w:t>No worksite-level separation cohort established in this census.</w:t>
      </w:r>
    </w:p>
    <w:p>
      <w:pPr>
        <w:keepLines/>
      </w:pPr>
      <w:r>
        <w:rPr>
          <w:b/>
        </w:rPr>
        <w:t xml:space="preserve">Causation and legal limits.  </w:t>
      </w:r>
      <w:r>
        <w:t>FIFRA registration proceedings and §16 review; inspect the voluntary agreement and any release before inferring company remedies.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79">
        <w:r>
          <w:rPr>
            <w:color w:val="185B83"/>
            <w:u w:val="single"/>
          </w:rPr>
          <w:t>EPA agreement (archive.epa.gov)</w:t>
        </w:r>
      </w:hyperlink>
      <w:r>
        <w:t xml:space="preserve">.  </w:t>
      </w:r>
      <w:r>
        <w:t>Pass 2 source anchor reopened; action and scope reviewed at event level. This does not verify an individual worksite loss.</w:t>
      </w:r>
    </w:p>
    <w:p>
      <w:pPr>
        <w:pStyle w:val="Heading2"/>
      </w:pPr>
      <w:r>
        <w:t>C-067  Carbofuran food-tolerance revocation</w:t>
      </w:r>
    </w:p>
    <w:p>
      <w:pPr>
        <w:keepNext/>
        <w:keepLines/>
      </w:pPr>
      <w:r>
        <w:rPr>
          <w:b/>
        </w:rPr>
        <w:t xml:space="preserve">Why this qualifies.  </w:t>
      </w:r>
      <w:r>
        <w:t>EPA revoked carbofuran food tolerances to protect health, materially removing the established food-crop market for that pesticide even though other uses remained.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FIFRA and FFDCA. EPA revoked food tolerances effective in 2009; some nonfood uses and registrations remained. Isolate workers tied to the prohibited food-use line.</w:t>
      </w:r>
    </w:p>
    <w:p>
      <w:pPr>
        <w:keepLines/>
      </w:pPr>
      <w:r>
        <w:rPr>
          <w:b/>
        </w:rPr>
        <w:t xml:space="preserve">Worksite and group record.  </w:t>
      </w:r>
      <w:r>
        <w:t>No worksite-level separation cohort established in this census.</w:t>
      </w:r>
    </w:p>
    <w:p>
      <w:pPr>
        <w:keepLines/>
      </w:pPr>
      <w:r>
        <w:rPr>
          <w:b/>
        </w:rPr>
        <w:t xml:space="preserve">Causation and legal limits.  </w:t>
      </w:r>
      <w:r>
        <w:t>FMC and grower groups challenged tolerance revocation; EPA records their objections and ensuing review.</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0">
        <w:r>
          <w:rPr>
            <w:color w:val="185B83"/>
            <w:u w:val="single"/>
          </w:rPr>
          <w:t>EPA cancellation history (archive.epa.gov)</w:t>
        </w:r>
      </w:hyperlink>
      <w:r>
        <w:t xml:space="preserve">.  </w:t>
      </w:r>
      <w:r>
        <w:t>Pass 2 source anchor reopened; action and scope reviewed at event level. This does not verify an individual worksite loss.</w:t>
      </w:r>
    </w:p>
    <w:p>
      <w:pPr>
        <w:pStyle w:val="Heading2"/>
      </w:pPr>
      <w:r>
        <w:t>C-068  Pentachlorophenol wood preservative</w:t>
      </w:r>
    </w:p>
    <w:p>
      <w:pPr>
        <w:keepNext/>
        <w:keepLines/>
      </w:pPr>
      <w:r>
        <w:rPr>
          <w:b/>
        </w:rPr>
        <w:t xml:space="preserve">Why this qualifies.  </w:t>
      </w:r>
      <w:r>
        <w:t>EPA required pentachlorophenol registrations to end for health and environmental reasons, materially curtailing its established wood-preservative trade under the transition rules.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FIFRA. EPA’s 2022 decision required cancellation; existing stocks in wood treatment have been allowed through February 2027. Count actual future shutdown or separations, not an entire timber workforce.</w:t>
      </w:r>
    </w:p>
    <w:p>
      <w:pPr>
        <w:keepLines/>
      </w:pPr>
      <w:r>
        <w:rPr>
          <w:b/>
        </w:rPr>
        <w:t xml:space="preserve">Worksite and group record.  </w:t>
      </w:r>
      <w:r>
        <w:t>No worksite-level separation cohort established in this census.</w:t>
      </w:r>
    </w:p>
    <w:p>
      <w:pPr>
        <w:keepLines/>
      </w:pPr>
      <w:r>
        <w:rPr>
          <w:b/>
        </w:rPr>
        <w:t xml:space="preserve">Causation and legal limits.  </w:t>
      </w:r>
      <w:r>
        <w:t>FIFRA administrative participation and §16 review; map registrant requests and grandfathered stock.</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1">
        <w:r>
          <w:rPr>
            <w:color w:val="185B83"/>
            <w:u w:val="single"/>
          </w:rPr>
          <w:t>EPA chemical status (epa.gov)</w:t>
        </w:r>
      </w:hyperlink>
      <w:r>
        <w:t xml:space="preserve">.  </w:t>
      </w:r>
      <w:r>
        <w:t>Pass 2 source anchor reopened; action and scope reviewed at event level. This does not verify an individual worksite loss.</w:t>
      </w:r>
    </w:p>
    <w:p>
      <w:pPr>
        <w:pStyle w:val="Heading2"/>
      </w:pPr>
      <w:r>
        <w:t>C-069  DCPA or Dacthal pesticide</w:t>
      </w:r>
    </w:p>
    <w:p>
      <w:pPr>
        <w:keepNext/>
        <w:keepLines/>
      </w:pPr>
      <w:r>
        <w:rPr>
          <w:b/>
        </w:rPr>
        <w:t xml:space="preserve">Why this qualifies.  </w:t>
      </w:r>
      <w:r>
        <w:t>EPA emergency-suspended DCPA to protect pregnant people and children, immediately stopping lawful sales and use of an existing pesticide product.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FIFRA. EPA emergency-suspended every registration in August 2024 and canceled all in October after the registrant requested cancellation. The suspension and voluntary cancellation are distinct causal steps.</w:t>
      </w:r>
    </w:p>
    <w:p>
      <w:pPr>
        <w:keepLines/>
      </w:pPr>
      <w:r>
        <w:rPr>
          <w:b/>
        </w:rPr>
        <w:t xml:space="preserve">Worksite and group record.  </w:t>
      </w:r>
      <w:r>
        <w:t>No worksite-level separation cohort established in this census.</w:t>
      </w:r>
    </w:p>
    <w:p>
      <w:pPr>
        <w:keepLines/>
      </w:pPr>
      <w:r>
        <w:rPr>
          <w:b/>
        </w:rPr>
        <w:t xml:space="preserve">Causation and legal limits.  </w:t>
      </w:r>
      <w:r>
        <w:t>Emergency suspension and cancellation processes under FIFRA; §15 indemnity covers eligible product holders, not necessarily displaced workers.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2">
        <w:r>
          <w:rPr>
            <w:color w:val="185B83"/>
            <w:u w:val="single"/>
          </w:rPr>
          <w:t>EPA indemnity and chronology (epa.gov)</w:t>
        </w:r>
      </w:hyperlink>
      <w:r>
        <w:t xml:space="preserve">.  </w:t>
      </w:r>
      <w:r>
        <w:t>Pass 2 source anchor reopened; action and scope reviewed at event level. This does not verify an individual worksite loss.</w:t>
      </w:r>
    </w:p>
    <w:p>
      <w:pPr>
        <w:pStyle w:val="Heading2"/>
      </w:pPr>
      <w:r>
        <w:t>C-070  Chlorpyrifos food tolerances 2021 to 2023</w:t>
      </w:r>
    </w:p>
    <w:p>
      <w:pPr>
        <w:keepNext/>
        <w:keepLines/>
      </w:pPr>
      <w:r>
        <w:rPr>
          <w:b/>
        </w:rPr>
        <w:t xml:space="preserve">Why this qualifies.  </w:t>
      </w:r>
      <w:r>
        <w:t>EPA's 2021 chlorpyrifos food-tolerance revocation protected health by halting established food uses for over two years, imposing a real interim market loss before the rule was vacated.</w:t>
      </w:r>
    </w:p>
    <w:p>
      <w:pPr>
        <w:keepLines/>
      </w:pPr>
      <w:r>
        <w:rPr>
          <w:b/>
        </w:rPr>
        <w:t xml:space="preserve">Screening disposition.  </w:t>
      </w:r>
      <w:r>
        <w:t>Qualifying interim food-use restriction through 2023; the nationwide rule was then vacated.</w:t>
      </w:r>
    </w:p>
    <w:p>
      <w:pPr>
        <w:keepLines/>
      </w:pPr>
      <w:r>
        <w:rPr>
          <w:b/>
        </w:rPr>
        <w:t xml:space="preserve">Government action and scope.  </w:t>
      </w:r>
      <w:r>
        <w:t>EPA / FFDCA and FIFRA. A 2021 revocation was vacated by the Eighth Circuit in 2023 and tolerances reinstated. Do not describe the old nationwide food ban as operative today; identify actual interim jobs lost.</w:t>
      </w:r>
    </w:p>
    <w:p>
      <w:pPr>
        <w:keepLines/>
      </w:pPr>
      <w:r>
        <w:rPr>
          <w:b/>
        </w:rPr>
        <w:t xml:space="preserve">Worksite and group record.  </w:t>
      </w:r>
      <w:r>
        <w:t>No worksite-level separation cohort established in this census.</w:t>
      </w:r>
    </w:p>
    <w:p>
      <w:pPr>
        <w:keepLines/>
      </w:pPr>
      <w:r>
        <w:rPr>
          <w:b/>
        </w:rPr>
        <w:t xml:space="preserve">Causation and legal limits.  </w:t>
      </w:r>
      <w:r>
        <w:t>The successful route was judicial review of the tolerance rule; subsequent registrant use cancellations require separate tracking.</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3">
        <w:r>
          <w:rPr>
            <w:color w:val="185B83"/>
            <w:u w:val="single"/>
          </w:rPr>
          <w:t>EPA current status (epa.gov)</w:t>
        </w:r>
      </w:hyperlink>
      <w:r>
        <w:t xml:space="preserve">; </w:t>
      </w:r>
      <w:hyperlink r:id="rId84">
        <w:r>
          <w:rPr>
            <w:color w:val="185B83"/>
            <w:u w:val="single"/>
          </w:rPr>
          <w:t>EPA account of 2021 rule and 2023 vacatur</w:t>
        </w:r>
      </w:hyperlink>
      <w:r>
        <w:t xml:space="preserve">.  </w:t>
      </w:r>
      <w:r>
        <w:t>Pass 2 source anchor reopened; action and scope reviewed at event level. This does not verify an individual worksite loss.</w:t>
      </w:r>
    </w:p>
    <w:p>
      <w:pPr>
        <w:pStyle w:val="Heading2"/>
      </w:pPr>
      <w:r>
        <w:t>C-071  Trichloroethylene use prohibitions</w:t>
      </w:r>
    </w:p>
    <w:p>
      <w:pPr>
        <w:keepNext/>
        <w:keepLines/>
      </w:pPr>
      <w:r>
        <w:rPr>
          <w:b/>
        </w:rPr>
        <w:t xml:space="preserve">Why this qualifies.  </w:t>
      </w:r>
      <w:r>
        <w:t>EPA barred specified trichloroethylene uses to protect workers and the public, ending established uses as their compliance dates arrived.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TSCA. EPA's December 2024 TCE rule prohibits most uses on staggered compliance dates. EPA later extended specified uses and postponed requirements on certain exemptions during judicial review; applicable effective obligations, rather than the announced final rule alone, define the event.</w:t>
      </w:r>
    </w:p>
    <w:p>
      <w:pPr>
        <w:keepLines/>
      </w:pPr>
      <w:r>
        <w:rPr>
          <w:b/>
        </w:rPr>
        <w:t xml:space="preserve">Worksite and group record.  </w:t>
      </w:r>
      <w:r>
        <w:t>No worksite-level separation cohort established in this census.</w:t>
      </w:r>
    </w:p>
    <w:p>
      <w:pPr>
        <w:keepLines/>
      </w:pPr>
      <w:r>
        <w:rPr>
          <w:b/>
        </w:rPr>
        <w:t xml:space="preserve">Causation and legal limits.  </w:t>
      </w:r>
      <w:r>
        <w:t>The rule and compliance dates changed during judicial review. Match a particular use to an effective prohibition or imposed obligation before attributing any lost market; extended and exempt uses cannot be assumed lost.</w:t>
      </w:r>
    </w:p>
    <w:p>
      <w:pPr>
        <w:keepLines/>
      </w:pPr>
      <w:r>
        <w:rPr>
          <w:b/>
        </w:rPr>
        <w:t xml:space="preserve">Further event evidence.  </w:t>
      </w:r>
      <w:r>
        <w:t>Retrieve current EPA compliance dates and the covered firm's use and sales, and separate prohibition effects from later extensions or judicial review.</w:t>
      </w:r>
    </w:p>
    <w:p>
      <w:pPr>
        <w:keepLines/>
        <w:spacing w:after="120"/>
      </w:pPr>
      <w:r>
        <w:rPr>
          <w:b/>
        </w:rPr>
        <w:t xml:space="preserve">Sources and citation check.  </w:t>
      </w:r>
      <w:hyperlink r:id="rId85">
        <w:r>
          <w:rPr>
            <w:color w:val="185B83"/>
            <w:u w:val="single"/>
          </w:rPr>
          <w:t>EPA current rule status (epa.gov)</w:t>
        </w:r>
      </w:hyperlink>
      <w:r>
        <w:t xml:space="preserve">.  </w:t>
      </w:r>
      <w:r>
        <w:t>Pass 2: EPA's May 2026 page rechecked; certain exemptions postponed, other current deadlines described as effective. Date-specific impact must be verified.</w:t>
      </w:r>
    </w:p>
    <w:p>
      <w:pPr>
        <w:pStyle w:val="Heading2"/>
      </w:pPr>
      <w:r>
        <w:t>C-074  DecaBDE flame retardant</w:t>
      </w:r>
    </w:p>
    <w:p>
      <w:pPr>
        <w:keepNext/>
        <w:keepLines/>
      </w:pPr>
      <w:r>
        <w:rPr>
          <w:b/>
        </w:rPr>
        <w:t xml:space="preserve">Why this qualifies.  </w:t>
      </w:r>
      <w:r>
        <w:t>EPA prohibited much decaBDE manufacture and distribution to reduce toxic exposure, directly contracting existing product markets subject to exceptions.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TSCA. The 2021 PBT rule prohibited manufacture, processing and distribution, subject to exceptions and 2024 amendments. Identify specialized producers and substitutions.</w:t>
      </w:r>
    </w:p>
    <w:p>
      <w:pPr>
        <w:keepLines/>
      </w:pPr>
      <w:r>
        <w:rPr>
          <w:b/>
        </w:rPr>
        <w:t xml:space="preserve">Worksite and group record.  </w:t>
      </w:r>
      <w:r>
        <w:t>No worksite-level separation cohort established in this census.</w:t>
      </w:r>
    </w:p>
    <w:p>
      <w:pPr>
        <w:keepLines/>
      </w:pPr>
      <w:r>
        <w:rPr>
          <w:b/>
        </w:rPr>
        <w:t xml:space="preserve">Causation and legal limits.  </w:t>
      </w:r>
      <w:r>
        <w:t>TSCA §19 and exemption litigation; avoid counting every electronics worker affected only indirectly.</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6">
        <w:r>
          <w:rPr>
            <w:color w:val="185B83"/>
            <w:u w:val="single"/>
          </w:rPr>
          <w:t>EPA PBT chemical rules (epa.gov)</w:t>
        </w:r>
      </w:hyperlink>
      <w:r>
        <w:t xml:space="preserve">.  </w:t>
      </w:r>
      <w:r>
        <w:t>Pass 2 source anchor reopened; action and scope reviewed at event level. This does not verify an individual worksite loss.</w:t>
      </w:r>
    </w:p>
    <w:p>
      <w:pPr>
        <w:pStyle w:val="Heading2"/>
      </w:pPr>
      <w:r>
        <w:t>C-076  Hydrofluorocarbon production phasedown</w:t>
      </w:r>
    </w:p>
    <w:p>
      <w:pPr>
        <w:keepNext/>
        <w:keepLines/>
      </w:pPr>
      <w:r>
        <w:rPr>
          <w:b/>
        </w:rPr>
        <w:t xml:space="preserve">Why this qualifies.  </w:t>
      </w:r>
      <w:r>
        <w:t>The federal HFC allowance phasedown serves climate protection by already cutting permissible production and consumption, materially constraining existing producers and importers.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AIM Act. The allowance system steps production and consumption down 85 percent by 2036. It contracts a class of chemicals, but firms may convert and trade allowances.</w:t>
      </w:r>
    </w:p>
    <w:p>
      <w:pPr>
        <w:keepLines/>
      </w:pPr>
      <w:r>
        <w:rPr>
          <w:b/>
        </w:rPr>
        <w:t xml:space="preserve">Worksite and group record.  </w:t>
      </w:r>
      <w:r>
        <w:t>No worksite-level separation cohort established in this census.</w:t>
      </w:r>
    </w:p>
    <w:p>
      <w:pPr>
        <w:keepLines/>
      </w:pPr>
      <w:r>
        <w:rPr>
          <w:b/>
        </w:rPr>
        <w:t xml:space="preserve">Causation and legal limits.  </w:t>
      </w:r>
      <w:r>
        <w:t>Rule and allowance challenges require the exact AIM Act provision, forum and filing deadline; analyze plants individually.</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7">
        <w:r>
          <w:rPr>
            <w:color w:val="185B83"/>
            <w:u w:val="single"/>
          </w:rPr>
          <w:t>EPA HFC phase-down FAQ (epa.gov)</w:t>
        </w:r>
      </w:hyperlink>
      <w:r>
        <w:t xml:space="preserve">.  </w:t>
      </w:r>
      <w:r>
        <w:t>Pass 2 source anchor reopened; action and scope reviewed at event level. This does not verify an individual worksite loss.</w:t>
      </w:r>
    </w:p>
    <w:p>
      <w:pPr>
        <w:pStyle w:val="Heading2"/>
      </w:pPr>
      <w:r>
        <w:t>C-077  Partially hydrogenated oils in food</w:t>
      </w:r>
    </w:p>
    <w:p>
      <w:pPr>
        <w:keepNext/>
        <w:keepLines/>
      </w:pPr>
      <w:r>
        <w:rPr>
          <w:b/>
        </w:rPr>
        <w:t xml:space="preserve">Why this qualifies.  </w:t>
      </w:r>
      <w:r>
        <w:t>FDA removed ordinary food uses of partially hydrogenated oils to reduce trans-fat harms, ending an established ingredient market for affected oil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FDA / FFDCA. FDA determined PHOs are no longer generally recognized as safe and removed their ordinary food uses. Food companies may reformulate rather than close; identify dedicated oil manufacturing positions.</w:t>
      </w:r>
    </w:p>
    <w:p>
      <w:pPr>
        <w:keepLines/>
      </w:pPr>
      <w:r>
        <w:rPr>
          <w:b/>
        </w:rPr>
        <w:t xml:space="preserve">Worksite and group record.  </w:t>
      </w:r>
      <w:r>
        <w:t>No worksite-level separation cohort established in this census.</w:t>
      </w:r>
    </w:p>
    <w:p>
      <w:pPr>
        <w:keepLines/>
      </w:pPr>
      <w:r>
        <w:rPr>
          <w:b/>
        </w:rPr>
        <w:t xml:space="preserve">Causation and legal limits.  </w:t>
      </w:r>
      <w:r>
        <w:t>Food-additive petition, rule and APA/FDCA review; distinguish loss from reformulation cost.</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8">
        <w:r>
          <w:rPr>
            <w:color w:val="185B83"/>
            <w:u w:val="single"/>
          </w:rPr>
          <w:t>FDA final determination (fda.gov)</w:t>
        </w:r>
      </w:hyperlink>
      <w:r>
        <w:t xml:space="preserve">.  </w:t>
      </w:r>
      <w:r>
        <w:t>Pass 2 source anchor reopened; action and scope reviewed at event level. This does not verify an individual worksite loss.</w:t>
      </w:r>
    </w:p>
    <w:p>
      <w:pPr>
        <w:pStyle w:val="Heading2"/>
      </w:pPr>
      <w:r>
        <w:t>C-078  Ephedrine-alkaloid dietary supplements</w:t>
      </w:r>
    </w:p>
    <w:p>
      <w:pPr>
        <w:keepNext/>
        <w:keepLines/>
      </w:pPr>
      <w:r>
        <w:rPr>
          <w:b/>
        </w:rPr>
        <w:t xml:space="preserve">Why this qualifies.  </w:t>
      </w:r>
      <w:r>
        <w:t>FDA barred ephedrine-alkaloid dietary supplements to protect consumers, eliminating a formerly lawful product line for specialty firms.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FDA / FFDCA. FDA banned sale of dietary supplements containing ephedrine alkaloids in 2004. Examine specialized supplement firms and directly dependent workers.</w:t>
      </w:r>
    </w:p>
    <w:p>
      <w:pPr>
        <w:keepLines/>
      </w:pPr>
      <w:r>
        <w:rPr>
          <w:b/>
        </w:rPr>
        <w:t xml:space="preserve">Worksite and group record.  </w:t>
      </w:r>
      <w:r>
        <w:t>No worksite-level separation cohort established in this census.</w:t>
      </w:r>
    </w:p>
    <w:p>
      <w:pPr>
        <w:keepLines/>
      </w:pPr>
      <w:r>
        <w:rPr>
          <w:b/>
        </w:rPr>
        <w:t xml:space="preserve">Causation and legal limits.  </w:t>
      </w:r>
      <w:r>
        <w:t>Industry pursued administrative-law and statutory challenges; the rule survived appellate review.</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89">
        <w:r>
          <w:rPr>
            <w:color w:val="185B83"/>
            <w:u w:val="single"/>
          </w:rPr>
          <w:t>FDA ingredient status (fda.gov)</w:t>
        </w:r>
      </w:hyperlink>
      <w:r>
        <w:t xml:space="preserve">.  </w:t>
      </w:r>
      <w:r>
        <w:t>Pass 2 source anchor reopened; action and scope reviewed at event level. This does not verify an individual worksite loss.</w:t>
      </w:r>
    </w:p>
    <w:p>
      <w:pPr>
        <w:pStyle w:val="Heading2"/>
      </w:pPr>
      <w:r>
        <w:t>C-079  Federal flavored-cigarette standard</w:t>
      </w:r>
    </w:p>
    <w:p>
      <w:pPr>
        <w:keepNext/>
        <w:keepLines/>
      </w:pPr>
      <w:r>
        <w:rPr>
          <w:b/>
        </w:rPr>
        <w:t xml:space="preserve">Why this qualifies.  </w:t>
      </w:r>
      <w:r>
        <w:t>Congress banned defined flavored cigarettes to protect health, removing established nonexempt flavor lines from affected tobacco firms.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Congress / FDA. The 2009 Act banned cigarettes with specified characterizing flavors except tobacco and menthol. Measure the effect on the established producers and workers in those lines.</w:t>
      </w:r>
    </w:p>
    <w:p>
      <w:pPr>
        <w:keepLines/>
      </w:pPr>
      <w:r>
        <w:rPr>
          <w:b/>
        </w:rPr>
        <w:t xml:space="preserve">Worksite and group record.  </w:t>
      </w:r>
      <w:r>
        <w:t>No worksite-level separation cohort established in this census.</w:t>
      </w:r>
    </w:p>
    <w:p>
      <w:pPr>
        <w:keepLines/>
      </w:pPr>
      <w:r>
        <w:rPr>
          <w:b/>
        </w:rPr>
        <w:t xml:space="preserve">Causation and legal limits.  </w:t>
      </w:r>
      <w:r>
        <w:t>Tobacco Control Act statutory and constitutional review; avoid extending this to cigars or menthol cigarettes.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0">
        <w:r>
          <w:rPr>
            <w:color w:val="185B83"/>
            <w:u w:val="single"/>
          </w:rPr>
          <w:t>FDA section 907 (fda.gov)</w:t>
        </w:r>
      </w:hyperlink>
      <w:r>
        <w:t xml:space="preserve">.  </w:t>
      </w:r>
      <w:r>
        <w:t>Pass 2 source anchor reopened; action and scope reviewed at event level. This does not verify an individual worksite loss.</w:t>
      </w:r>
    </w:p>
    <w:p>
      <w:pPr>
        <w:pStyle w:val="Heading2"/>
      </w:pPr>
      <w:r>
        <w:t>C-081  Hazardous lawn darts</w:t>
      </w:r>
    </w:p>
    <w:p>
      <w:pPr>
        <w:keepNext/>
        <w:keepLines/>
      </w:pPr>
      <w:r>
        <w:rPr>
          <w:b/>
        </w:rPr>
        <w:t xml:space="preserve">Why this qualifies.  </w:t>
      </w:r>
      <w:r>
        <w:t>CPSC banned hazardous pointed lawn darts for consumer safety, eliminating the covered product market for its makers and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CPSC / CPSA. CPSC prohibited hazardous pointed lawn darts, while safer game forms remained. Look for dedicated makers rather than generalized toy-sector losses.</w:t>
      </w:r>
    </w:p>
    <w:p>
      <w:pPr>
        <w:keepLines/>
      </w:pPr>
      <w:r>
        <w:rPr>
          <w:b/>
        </w:rPr>
        <w:t xml:space="preserve">Worksite and group record.  </w:t>
      </w:r>
      <w:r>
        <w:t>No worksite-level separation cohort established in this census.</w:t>
      </w:r>
    </w:p>
    <w:p>
      <w:pPr>
        <w:keepLines/>
      </w:pPr>
      <w:r>
        <w:rPr>
          <w:b/>
        </w:rPr>
        <w:t xml:space="preserve">Causation and legal limits.  </w:t>
      </w:r>
      <w:r>
        <w:t>Consumer product safety rule judicial review under 15 U.S.C. §2060.</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1">
        <w:r>
          <w:rPr>
            <w:color w:val="185B83"/>
            <w:u w:val="single"/>
          </w:rPr>
          <w:t>CPSC guidance (cpsc.gov)</w:t>
        </w:r>
      </w:hyperlink>
      <w:r>
        <w:t xml:space="preserve">.  </w:t>
      </w:r>
      <w:r>
        <w:t>Pass 2 source anchor reopened; action and scope reviewed at event level. This does not verify an individual worksite loss.</w:t>
      </w:r>
    </w:p>
    <w:p>
      <w:pPr>
        <w:pStyle w:val="Heading2"/>
      </w:pPr>
      <w:r>
        <w:t>C-082  Asbestos patching compounds and artificial embers</w:t>
      </w:r>
    </w:p>
    <w:p>
      <w:pPr>
        <w:keepNext/>
        <w:keepLines/>
      </w:pPr>
      <w:r>
        <w:rPr>
          <w:b/>
        </w:rPr>
        <w:t xml:space="preserve">Why this qualifies.  </w:t>
      </w:r>
      <w:r>
        <w:t>CPSC banned specified asbestos-containing patching and artificial-ember products for health protection, taking those established lines off the market.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CPSC / CPSA. CPSC banned specified respirable free-form asbestos consumer products. Replacements may preserve firms and jobs; isolate directly eliminated production.</w:t>
      </w:r>
    </w:p>
    <w:p>
      <w:pPr>
        <w:keepLines/>
      </w:pPr>
      <w:r>
        <w:rPr>
          <w:b/>
        </w:rPr>
        <w:t xml:space="preserve">Worksite and group record.  </w:t>
      </w:r>
      <w:r>
        <w:t>No worksite-level separation cohort established in this census.</w:t>
      </w:r>
    </w:p>
    <w:p>
      <w:pPr>
        <w:keepLines/>
      </w:pPr>
      <w:r>
        <w:rPr>
          <w:b/>
        </w:rPr>
        <w:t xml:space="preserve">Causation and legal limits.  </w:t>
      </w:r>
      <w:r>
        <w:t>CPSA rule review and any product classification dispute.</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2">
        <w:r>
          <w:rPr>
            <w:color w:val="185B83"/>
            <w:u w:val="single"/>
          </w:rPr>
          <w:t>CPSC business guidance (cpsc.gov)</w:t>
        </w:r>
      </w:hyperlink>
      <w:r>
        <w:t xml:space="preserve">.  </w:t>
      </w:r>
      <w:r>
        <w:t>Pass 2 source anchor reopened; action and scope reviewed at event level. This does not verify an individual worksite loss.</w:t>
      </w:r>
    </w:p>
    <w:p>
      <w:pPr>
        <w:pStyle w:val="Heading2"/>
      </w:pPr>
      <w:r>
        <w:t>C-083  Lead-containing surface coatings</w:t>
      </w:r>
    </w:p>
    <w:p>
      <w:pPr>
        <w:keepNext/>
        <w:keepLines/>
      </w:pPr>
      <w:r>
        <w:rPr>
          <w:b/>
        </w:rPr>
        <w:t xml:space="preserve">Why this qualifies.  </w:t>
      </w:r>
      <w:r>
        <w:t>Federal lead-paint limits protect children while forcing makers of covered lead-containing coatings to end or materially reformulate existing products.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CPSC / CPSA. Federal rules ban paints above the statutory lead threshold. Existing coating lines may have been reformulated rather than destroyed.</w:t>
      </w:r>
    </w:p>
    <w:p>
      <w:pPr>
        <w:keepLines/>
      </w:pPr>
      <w:r>
        <w:rPr>
          <w:b/>
        </w:rPr>
        <w:t xml:space="preserve">Worksite and group record.  </w:t>
      </w:r>
      <w:r>
        <w:t>No worksite-level separation cohort established in this census.</w:t>
      </w:r>
    </w:p>
    <w:p>
      <w:pPr>
        <w:keepLines/>
      </w:pPr>
      <w:r>
        <w:rPr>
          <w:b/>
        </w:rPr>
        <w:t xml:space="preserve">Causation and legal limits.  </w:t>
      </w:r>
      <w:r>
        <w:t>CPSA rule and enforcement review; no universal paint-worker class.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3">
        <w:r>
          <w:rPr>
            <w:color w:val="185B83"/>
            <w:u w:val="single"/>
          </w:rPr>
          <w:t>CPSC lead-paint guidance (cpsc.gov)</w:t>
        </w:r>
      </w:hyperlink>
      <w:r>
        <w:t xml:space="preserve">.  </w:t>
      </w:r>
      <w:r>
        <w:t>Pass 2 source anchor reopened; action and scope reviewed at event level. This does not verify an individual worksite loss.</w:t>
      </w:r>
    </w:p>
    <w:p>
      <w:pPr>
        <w:pStyle w:val="Heading2"/>
      </w:pPr>
      <w:r>
        <w:t>C-084  Inclined sleepers for infants</w:t>
      </w:r>
    </w:p>
    <w:p>
      <w:pPr>
        <w:keepNext/>
        <w:keepLines/>
      </w:pPr>
      <w:r>
        <w:rPr>
          <w:b/>
        </w:rPr>
        <w:t xml:space="preserve">Why this qualifies.  </w:t>
      </w:r>
      <w:r>
        <w:t>Congress banned defined inclined infant sleepers for child safety, removing an existing product category from makers and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Congress / CPSC. The Safe Sleep for Babies Act made the defined sleeper product a banned hazardous product in November 2022. Identify specialized manufacturers and jobs actually eliminated.</w:t>
      </w:r>
    </w:p>
    <w:p>
      <w:pPr>
        <w:keepLines/>
      </w:pPr>
      <w:r>
        <w:rPr>
          <w:b/>
        </w:rPr>
        <w:t xml:space="preserve">Worksite and group record.  </w:t>
      </w:r>
      <w:r>
        <w:t>No worksite-level separation cohort established in this census.</w:t>
      </w:r>
    </w:p>
    <w:p>
      <w:pPr>
        <w:keepLines/>
      </w:pPr>
      <w:r>
        <w:rPr>
          <w:b/>
        </w:rPr>
        <w:t xml:space="preserve">Causation and legal limits.  </w:t>
      </w:r>
      <w:r>
        <w:t>Challenge classification or application and any constitutional claim; Congress made the category ban, limiting rulemaking arguments.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4">
        <w:r>
          <w:rPr>
            <w:color w:val="185B83"/>
            <w:u w:val="single"/>
          </w:rPr>
          <w:t>CPSC guidance (cpsc.gov)</w:t>
        </w:r>
      </w:hyperlink>
      <w:r>
        <w:t xml:space="preserve">.  </w:t>
      </w:r>
      <w:r>
        <w:t>Pass 2 source anchor reopened; action and scope reviewed at event level. This does not verify an individual worksite loss.</w:t>
      </w:r>
    </w:p>
    <w:p>
      <w:pPr>
        <w:pStyle w:val="Heading2"/>
      </w:pPr>
      <w:r>
        <w:t>C-085  Crib bumpers</w:t>
      </w:r>
    </w:p>
    <w:p>
      <w:pPr>
        <w:keepNext/>
        <w:keepLines/>
      </w:pPr>
      <w:r>
        <w:rPr>
          <w:b/>
        </w:rPr>
        <w:t xml:space="preserve">Why this qualifies.  </w:t>
      </w:r>
      <w:r>
        <w:t>Congress banned defined crib bumpers for child safety, removing an existing product category from makers and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Congress / CPSC. The same Act expressly banned defined crib bumpers. Treat as a distinct product line because the workforces need not overlap.</w:t>
      </w:r>
    </w:p>
    <w:p>
      <w:pPr>
        <w:keepLines/>
      </w:pPr>
      <w:r>
        <w:rPr>
          <w:b/>
        </w:rPr>
        <w:t xml:space="preserve">Worksite and group record.  </w:t>
      </w:r>
      <w:r>
        <w:t>No worksite-level separation cohort established in this census.</w:t>
      </w:r>
    </w:p>
    <w:p>
      <w:pPr>
        <w:keepLines/>
      </w:pPr>
      <w:r>
        <w:rPr>
          <w:b/>
        </w:rPr>
        <w:t xml:space="preserve">Causation and legal limits.  </w:t>
      </w:r>
      <w:r>
        <w:t>Same statutory and classification routes; avoid double counting employers that exited both lines.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5">
        <w:r>
          <w:rPr>
            <w:color w:val="185B83"/>
            <w:u w:val="single"/>
          </w:rPr>
          <w:t>CPSC guidance (cpsc.gov)</w:t>
        </w:r>
      </w:hyperlink>
      <w:r>
        <w:t xml:space="preserve">.  </w:t>
      </w:r>
      <w:r>
        <w:t>Pass 2 source anchor reopened; action and scope reviewed at event level. This does not verify an individual worksite loss.</w:t>
      </w:r>
    </w:p>
    <w:p>
      <w:pPr>
        <w:pStyle w:val="Heading2"/>
      </w:pPr>
      <w:r>
        <w:t>C-086  Three-wheel all-terrain vehicles</w:t>
      </w:r>
    </w:p>
    <w:p>
      <w:pPr>
        <w:keepNext/>
        <w:keepLines/>
      </w:pPr>
      <w:r>
        <w:rPr>
          <w:b/>
        </w:rPr>
        <w:t xml:space="preserve">Why this qualifies.  </w:t>
      </w:r>
      <w:r>
        <w:t>Federal safety enforcement produced consent decrees stopping new three-wheel ATV sales by participating firms, materially ending their established product line.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CPSC / DOJ consent decrees. 1988 federal consent decrees stopped sale of new three-wheel ATVs by participating distributors. Review the material effect on dedicated U.S. operations and whether later compliant vehicles were permitted.</w:t>
      </w:r>
    </w:p>
    <w:p>
      <w:pPr>
        <w:keepLines/>
      </w:pPr>
      <w:r>
        <w:rPr>
          <w:b/>
        </w:rPr>
        <w:t xml:space="preserve">Worksite and group record.  </w:t>
      </w:r>
      <w:r>
        <w:t>No worksite-level separation cohort established in this census.</w:t>
      </w:r>
    </w:p>
    <w:p>
      <w:pPr>
        <w:keepLines/>
      </w:pPr>
      <w:r>
        <w:rPr>
          <w:b/>
        </w:rPr>
        <w:t xml:space="preserve">Causation and legal limits.  </w:t>
      </w:r>
      <w:r>
        <w:t>Consent-decree interpretation and modification, not a simple nationwide legislative ban.</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6">
        <w:r>
          <w:rPr>
            <w:color w:val="185B83"/>
            <w:u w:val="single"/>
          </w:rPr>
          <w:t>CPSC consent-decree announcement (cpsc.gov)</w:t>
        </w:r>
      </w:hyperlink>
      <w:r>
        <w:t xml:space="preserve">.  </w:t>
      </w:r>
      <w:r>
        <w:t>Pass 2 source anchor reopened; action and scope reviewed at event level. This does not verify an individual worksite loss.</w:t>
      </w:r>
    </w:p>
    <w:p>
      <w:pPr>
        <w:pStyle w:val="Heading2"/>
      </w:pPr>
      <w:r>
        <w:t>C-087  Wild Bird Conservation Act imports</w:t>
      </w:r>
    </w:p>
    <w:p>
      <w:pPr>
        <w:keepNext/>
        <w:keepLines/>
      </w:pPr>
      <w:r>
        <w:rPr>
          <w:b/>
        </w:rPr>
        <w:t xml:space="preserve">Why this qualifies.  </w:t>
      </w:r>
      <w:r>
        <w:t>Congress restricted wild-bird imports for conservation, directly reducing the existing exotic-bird import trade and its dependent work.</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Congress / FWS. The 1992 law and implementing rules restricted imports of exotic wild birds. Test whether preexisting licensed importers and dependent employees were actually displaced; domestically bred trade survived.</w:t>
      </w:r>
    </w:p>
    <w:p>
      <w:pPr>
        <w:keepLines/>
      </w:pPr>
      <w:r>
        <w:rPr>
          <w:b/>
        </w:rPr>
        <w:t xml:space="preserve">Worksite and group record.  </w:t>
      </w:r>
      <w:r>
        <w:t>No worksite-level separation cohort established in this census.</w:t>
      </w:r>
    </w:p>
    <w:p>
      <w:pPr>
        <w:keepLines/>
      </w:pPr>
      <w:r>
        <w:rPr>
          <w:b/>
        </w:rPr>
        <w:t xml:space="preserve">Causation and legal limits.  </w:t>
      </w:r>
      <w:r>
        <w:t>ESA/WBCA administrative rules and APA review; exemptions and approved programs matter.</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7">
        <w:r>
          <w:rPr>
            <w:color w:val="185B83"/>
            <w:u w:val="single"/>
          </w:rPr>
          <w:t>Fish and Wildlife Service (fws.gov)</w:t>
        </w:r>
      </w:hyperlink>
      <w:r>
        <w:t xml:space="preserve">.  </w:t>
      </w:r>
      <w:r>
        <w:t>Pass 2 source anchor reopened; action and scope reviewed at event level. This does not verify an individual worksite loss.</w:t>
      </w:r>
    </w:p>
    <w:p>
      <w:pPr>
        <w:pStyle w:val="Heading2"/>
      </w:pPr>
      <w:r>
        <w:t>C-088  African elephant ivory commercial trade</w:t>
      </w:r>
    </w:p>
    <w:p>
      <w:pPr>
        <w:keepNext/>
        <w:keepLines/>
      </w:pPr>
      <w:r>
        <w:rPr>
          <w:b/>
        </w:rPr>
        <w:t xml:space="preserve">Why this qualifies.  </w:t>
      </w:r>
      <w:r>
        <w:t>Federal elephant-conservation rules sharply restricted commercial ivory trade, materially curtailing formerly lawful sales by affected dealers and artisans.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FWS / ESA. The 2016 near-total commercial trade restriction retained antique and limited de minimis exceptions. Identify legal pre-rule ivory-dependent dealers and artisans.</w:t>
      </w:r>
    </w:p>
    <w:p>
      <w:pPr>
        <w:keepLines/>
      </w:pPr>
      <w:r>
        <w:rPr>
          <w:b/>
        </w:rPr>
        <w:t xml:space="preserve">Worksite and group record.  </w:t>
      </w:r>
      <w:r>
        <w:t>No worksite-level separation cohort established in this census.</w:t>
      </w:r>
    </w:p>
    <w:p>
      <w:pPr>
        <w:keepLines/>
      </w:pPr>
      <w:r>
        <w:rPr>
          <w:b/>
        </w:rPr>
        <w:t xml:space="preserve">Causation and legal limits.  </w:t>
      </w:r>
      <w:r>
        <w:t>ESA 4(d) rule and APA review, exceptions and proof of age/origin.</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8">
        <w:r>
          <w:rPr>
            <w:color w:val="185B83"/>
            <w:u w:val="single"/>
          </w:rPr>
          <w:t>Fish and Wildlife Service (fws.gov)</w:t>
        </w:r>
      </w:hyperlink>
      <w:r>
        <w:t xml:space="preserve">.  </w:t>
      </w:r>
      <w:r>
        <w:t>Pass 2 source anchor reopened; action and scope reviewed at event level. This does not verify an individual worksite loss.</w:t>
      </w:r>
    </w:p>
    <w:p>
      <w:pPr>
        <w:pStyle w:val="Heading2"/>
      </w:pPr>
      <w:r>
        <w:t>C-089  Shark-fin commercial sales</w:t>
      </w:r>
    </w:p>
    <w:p>
      <w:pPr>
        <w:keepNext/>
        <w:keepLines/>
      </w:pPr>
      <w:r>
        <w:rPr>
          <w:b/>
        </w:rPr>
        <w:t xml:space="preserve">Why this qualifies.  </w:t>
      </w:r>
      <w:r>
        <w:t>Congress banned most detached shark-fin commerce for conservation, taking away the covered trade of existing fin dealers.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Congress / NOAA. The 2022 Shark Fin Sales Elimination Act bars commercial sale and related handling of detached fins; shark fishing for meat is not categorically prohibited.</w:t>
      </w:r>
    </w:p>
    <w:p>
      <w:pPr>
        <w:keepLines/>
      </w:pPr>
      <w:r>
        <w:rPr>
          <w:b/>
        </w:rPr>
        <w:t xml:space="preserve">Worksite and group record.  </w:t>
      </w:r>
      <w:r>
        <w:t>No worksite-level separation cohort established in this census.</w:t>
      </w:r>
    </w:p>
    <w:p>
      <w:pPr>
        <w:keepLines/>
      </w:pPr>
      <w:r>
        <w:rPr>
          <w:b/>
        </w:rPr>
        <w:t xml:space="preserve">Causation and legal limits.  </w:t>
      </w:r>
      <w:r>
        <w:t>Statutory exceptions and constitutional challenges; identify fin-specialty workers and preexisting lawful stock.</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99">
        <w:r>
          <w:rPr>
            <w:color w:val="185B83"/>
            <w:u w:val="single"/>
          </w:rPr>
          <w:t>NOAA Fisheries FAQ (fisheries.noaa.gov)</w:t>
        </w:r>
      </w:hyperlink>
      <w:r>
        <w:t xml:space="preserve">.  </w:t>
      </w:r>
      <w:r>
        <w:t>Pass 2 source anchor reopened; action and scope reviewed at event level. This does not verify an individual worksite loss.</w:t>
      </w:r>
    </w:p>
    <w:p>
      <w:pPr>
        <w:pStyle w:val="Heading2"/>
      </w:pPr>
      <w:r>
        <w:t>C-090  Maine Law of 1851 liquor manufacture and sales</w:t>
      </w:r>
    </w:p>
    <w:p>
      <w:pPr>
        <w:keepNext/>
        <w:keepLines/>
      </w:pPr>
      <w:r>
        <w:rPr>
          <w:b/>
        </w:rPr>
        <w:t xml:space="preserve">Why this qualifies.  </w:t>
      </w:r>
      <w:r>
        <w:t>Maine prohibited liquor manufacture and sales for statewide temperance, materially curtailing the remaining lawful trade of existing producers and sellers.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Maine / historical alcohol. A state prohibition decades before C-001 national Prohibition. Reconstruct legally licensed brewers, distillers, sellers and workers; do not count later national closure a second time.</w:t>
      </w:r>
    </w:p>
    <w:p>
      <w:pPr>
        <w:keepLines/>
      </w:pPr>
      <w:r>
        <w:rPr>
          <w:b/>
        </w:rPr>
        <w:t xml:space="preserve">Worksite and group record.  </w:t>
      </w:r>
      <w:r>
        <w:t>No worksite-level separation cohort established in this census.</w:t>
      </w:r>
    </w:p>
    <w:p>
      <w:pPr>
        <w:keepLines/>
      </w:pPr>
      <w:r>
        <w:rPr>
          <w:b/>
        </w:rPr>
        <w:t xml:space="preserve">Causation and legal limits.  </w:t>
      </w:r>
      <w:r>
        <w:t>Search the 1851 act and contemporary state judicial review, then specific business and census records.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0">
        <w:r>
          <w:rPr>
            <w:color w:val="185B83"/>
            <w:u w:val="single"/>
          </w:rPr>
          <w:t>Maine Legislature historical account (maine.gov)</w:t>
        </w:r>
      </w:hyperlink>
      <w:r>
        <w:t xml:space="preserve">.  </w:t>
      </w:r>
      <w:r>
        <w:t>Pass 2 source anchor reopened; action and scope reviewed at event level. This does not verify an individual worksite loss.</w:t>
      </w:r>
    </w:p>
    <w:p>
      <w:pPr>
        <w:pStyle w:val="Heading2"/>
      </w:pPr>
      <w:r>
        <w:t>C-091  Kansas 1881 alcohol manufacture and sales</w:t>
      </w:r>
    </w:p>
    <w:p>
      <w:pPr>
        <w:keepNext/>
        <w:keepLines/>
      </w:pPr>
      <w:r>
        <w:rPr>
          <w:b/>
        </w:rPr>
        <w:t xml:space="preserve">Why this qualifies.  </w:t>
      </w:r>
      <w:r>
        <w:t>Kansas prohibited liquor manufacture and sale for public temperance, making established legal alcohol businesses unlawful or materially harder to operate.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Kansas / historical alcohol. The state outlawed manufacture and sale well before the Eighteenth Amendment. Identify pre-law businesses and the actual enforcement and closure interval.</w:t>
      </w:r>
    </w:p>
    <w:p>
      <w:pPr>
        <w:keepLines/>
      </w:pPr>
      <w:r>
        <w:rPr>
          <w:b/>
        </w:rPr>
        <w:t xml:space="preserve">Worksite and group record.  </w:t>
      </w:r>
      <w:r>
        <w:t>No worksite-level separation cohort established in this census.</w:t>
      </w:r>
    </w:p>
    <w:p>
      <w:pPr>
        <w:keepLines/>
      </w:pPr>
      <w:r>
        <w:rPr>
          <w:b/>
        </w:rPr>
        <w:t xml:space="preserve">Causation and legal limits.  </w:t>
      </w:r>
      <w:r>
        <w:t>Contemporary state constitutional and enforcement cases need archival review; 1881 business loss cannot be attributed to the later federal event.</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1">
        <w:r>
          <w:rPr>
            <w:color w:val="185B83"/>
            <w:u w:val="single"/>
          </w:rPr>
          <w:t>Kansas Historical Society (kansashistory.gov)</w:t>
        </w:r>
      </w:hyperlink>
      <w:r>
        <w:t xml:space="preserve">.  </w:t>
      </w:r>
      <w:r>
        <w:t>Pass 2: Kansas Historical Society confirms 1880 amendment and May 1881 effective implementing law, subject to stated exceptions.</w:t>
      </w:r>
    </w:p>
    <w:p>
      <w:pPr>
        <w:pStyle w:val="Heading2"/>
      </w:pPr>
      <w:r>
        <w:t>C-092  Louisiana alligator harvest closure 1962 to 1972</w:t>
      </w:r>
    </w:p>
    <w:p>
      <w:pPr>
        <w:keepNext/>
        <w:keepLines/>
      </w:pPr>
      <w:r>
        <w:rPr>
          <w:b/>
        </w:rPr>
        <w:t xml:space="preserve">Why this qualifies.  </w:t>
      </w:r>
      <w:r>
        <w:t>Louisiana closed an established commercial alligator hunt for conservation, removing the seasonal trade of hunters and processors during the closure.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Louisiana / wildlife trade. The state closed an established commercial hunt for a decade and later reopened it. Trace affected commercial hunters and processors, and assess population decline as a competing cause.</w:t>
      </w:r>
    </w:p>
    <w:p>
      <w:pPr>
        <w:keepLines/>
      </w:pPr>
      <w:r>
        <w:rPr>
          <w:b/>
        </w:rPr>
        <w:t xml:space="preserve">Worksite and group record.  </w:t>
      </w:r>
      <w:r>
        <w:t>No worksite-level separation cohort established in this census.</w:t>
      </w:r>
    </w:p>
    <w:p>
      <w:pPr>
        <w:keepLines/>
      </w:pPr>
      <w:r>
        <w:rPr>
          <w:b/>
        </w:rPr>
        <w:t xml:space="preserve">Causation and legal limits.  </w:t>
      </w:r>
      <w:r>
        <w:t>Historic fish and wildlife commission authority and contemporaneous state-court avenues require archival research.</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2">
        <w:r>
          <w:rPr>
            <w:color w:val="185B83"/>
            <w:u w:val="single"/>
          </w:rPr>
          <w:t>Louisiana Department of Wildlife and Fisheries (wlf.louisiana.gov)</w:t>
        </w:r>
      </w:hyperlink>
      <w:r>
        <w:t xml:space="preserve">.  </w:t>
      </w:r>
      <w:r>
        <w:t>Pass 2 direct fetch failed; prior official citation or indexed result retained. Reopen the underlying text before worksite certification.</w:t>
      </w:r>
    </w:p>
    <w:p>
      <w:pPr>
        <w:pStyle w:val="Heading2"/>
      </w:pPr>
      <w:r>
        <w:t>C-093  Northern California commercial abalone closure 1949</w:t>
      </w:r>
    </w:p>
    <w:p>
      <w:pPr>
        <w:keepNext/>
        <w:keepLines/>
      </w:pPr>
      <w:r>
        <w:rPr>
          <w:b/>
        </w:rPr>
        <w:t xml:space="preserve">Why this qualifies.  </w:t>
      </w:r>
      <w:r>
        <w:t>California closed its northern commercial abalone fishery for conservation, taking away an existing harvest market from its permit holders.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fishery. The northern commercial fishery was already closed in 1949. Keep this earlier event separate from the southern and central 1997 closure.</w:t>
      </w:r>
    </w:p>
    <w:p>
      <w:pPr>
        <w:keepLines/>
      </w:pPr>
      <w:r>
        <w:rPr>
          <w:b/>
        </w:rPr>
        <w:t xml:space="preserve">Worksite and group record.  </w:t>
      </w:r>
      <w:r>
        <w:t>No worksite-level separation cohort established in this census.</w:t>
      </w:r>
    </w:p>
    <w:p>
      <w:pPr>
        <w:keepLines/>
      </w:pPr>
      <w:r>
        <w:rPr>
          <w:b/>
        </w:rPr>
        <w:t xml:space="preserve">Causation and legal limits.  </w:t>
      </w:r>
      <w:r>
        <w:t>Review historical Fish and Game Commission rules and permit records; resource collapse may complicate causation.</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3">
        <w:r>
          <w:rPr>
            <w:color w:val="185B83"/>
            <w:u w:val="single"/>
          </w:rPr>
          <w:t>California Department of Justice history (oag.ca.gov)</w:t>
        </w:r>
      </w:hyperlink>
      <w:r>
        <w:t xml:space="preserve">.  </w:t>
      </w:r>
      <w:r>
        <w:t>Pass 2: California AG distinguishes 1949 northern commercial harvest ban from 1997 central and southern ban. This anchor is retrospective, not the original order.</w:t>
      </w:r>
    </w:p>
    <w:p>
      <w:pPr>
        <w:pStyle w:val="Heading2"/>
      </w:pPr>
      <w:r>
        <w:t>C-094  Central and Southern California abalone closure 1997</w:t>
      </w:r>
    </w:p>
    <w:p>
      <w:pPr>
        <w:keepNext/>
        <w:keepLines/>
      </w:pPr>
      <w:r>
        <w:rPr>
          <w:b/>
        </w:rPr>
        <w:t xml:space="preserve">Why this qualifies.  </w:t>
      </w:r>
      <w:r>
        <w:t>California closed the central and southern commercial abalone fishery for stock protection, ending the legal harvest work of existing fishers there.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fishery. The state ended commercial harvest in remaining regions in the 1990s amid depleted stocks and disease. Identify permit holders and workers who exited the trade.</w:t>
      </w:r>
    </w:p>
    <w:p>
      <w:pPr>
        <w:keepLines/>
      </w:pPr>
      <w:r>
        <w:rPr>
          <w:b/>
        </w:rPr>
        <w:t xml:space="preserve">Worksite and group record.  </w:t>
      </w:r>
      <w:r>
        <w:t>No worksite-level separation cohort established in this census.</w:t>
      </w:r>
    </w:p>
    <w:p>
      <w:pPr>
        <w:keepLines/>
      </w:pPr>
      <w:r>
        <w:rPr>
          <w:b/>
        </w:rPr>
        <w:t xml:space="preserve">Causation and legal limits.  </w:t>
      </w:r>
      <w:r>
        <w:t>State regulatory or statutory review and fishery-management records; distinguish conservation trigger from government closure mechanism.</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4">
        <w:r>
          <w:rPr>
            <w:color w:val="185B83"/>
            <w:u w:val="single"/>
          </w:rPr>
          <w:t>California Fish and Wildlife management plan (ceqanet.lci.ca.gov)</w:t>
        </w:r>
      </w:hyperlink>
      <w:r>
        <w:t xml:space="preserve">; </w:t>
      </w:r>
      <w:hyperlink r:id="rId103">
        <w:r>
          <w:rPr>
            <w:color w:val="185B83"/>
            <w:u w:val="single"/>
          </w:rPr>
          <w:t>Additional legal or source record (oag.ca.gov)</w:t>
        </w:r>
      </w:hyperlink>
      <w:r>
        <w:t xml:space="preserve">.  </w:t>
      </w:r>
      <w:r>
        <w:t>Pass 2: California emergency regulation documents 1997 commercial closure; AG confirms regional distinction.</w:t>
      </w:r>
    </w:p>
    <w:p>
      <w:pPr>
        <w:pStyle w:val="Heading2"/>
      </w:pPr>
      <w:r>
        <w:t>C-095  Louisiana cockfighting prohibition 2008</w:t>
      </w:r>
    </w:p>
    <w:p>
      <w:pPr>
        <w:keepNext/>
        <w:keepLines/>
      </w:pPr>
      <w:r>
        <w:rPr>
          <w:b/>
        </w:rPr>
        <w:t xml:space="preserve">Why this qualifies.  </w:t>
      </w:r>
      <w:r>
        <w:t>Louisiana prohibited cockfighting for animal welfare, ending the existing legal business of covered fight promoters and venues.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Louisiana / animal events. Act 425 expressly prohibited organizing or conducting cockfights from August 15, 2008. Establish which lawful promoters, venues and workers were materially affected immediately before the ban.</w:t>
      </w:r>
    </w:p>
    <w:p>
      <w:pPr>
        <w:keepLines/>
      </w:pPr>
      <w:r>
        <w:rPr>
          <w:b/>
        </w:rPr>
        <w:t xml:space="preserve">Worksite and group record.  </w:t>
      </w:r>
      <w:r>
        <w:t>No worksite-level separation cohort established in this census.</w:t>
      </w:r>
    </w:p>
    <w:p>
      <w:pPr>
        <w:keepLines/>
      </w:pPr>
      <w:r>
        <w:rPr>
          <w:b/>
        </w:rPr>
        <w:t xml:space="preserve">Causation and legal limits.  </w:t>
      </w:r>
      <w:r>
        <w:t>State statutory and constitutional review, but animal-welfare policy and the existence of federal restrictions must be checked.</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5">
        <w:r>
          <w:rPr>
            <w:color w:val="185B83"/>
            <w:u w:val="single"/>
          </w:rPr>
          <w:t>Louisiana Legislature Act 425 (legis.la.gov)</w:t>
        </w:r>
      </w:hyperlink>
      <w:r>
        <w:t xml:space="preserve">.  </w:t>
      </w:r>
      <w:r>
        <w:t>Pass 2 source anchor reopened; action and scope reviewed at event level. This does not verify an individual worksite loss.</w:t>
      </w:r>
    </w:p>
    <w:p>
      <w:pPr>
        <w:pStyle w:val="Heading2"/>
      </w:pPr>
      <w:r>
        <w:t>C-096  Federal cockfighting prohibition extended to Puerto Rico</w:t>
      </w:r>
    </w:p>
    <w:p>
      <w:pPr>
        <w:keepNext/>
        <w:keepLines/>
      </w:pPr>
      <w:r>
        <w:rPr>
          <w:b/>
        </w:rPr>
        <w:t xml:space="preserve">Why this qualifies.  </w:t>
      </w:r>
      <w:r>
        <w:t>Congress extended the cockfighting ban to Puerto Rico for animal welfare, removing an established legal trade from island venues and workers.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Congress / Puerto Rico. The 2018 Farm Bill removed the territorial exception, effective after transition in 2019. Puerto Rico had a distinct legal trade; identify licensed venues and workers rather than assuming everyone connected to gamefowl qualified.</w:t>
      </w:r>
    </w:p>
    <w:p>
      <w:pPr>
        <w:keepLines/>
      </w:pPr>
      <w:r>
        <w:rPr>
          <w:b/>
        </w:rPr>
        <w:t xml:space="preserve">Worksite and group record.  </w:t>
      </w:r>
      <w:r>
        <w:t>No worksite-level separation cohort established in this census.</w:t>
      </w:r>
    </w:p>
    <w:p>
      <w:pPr>
        <w:keepLines/>
      </w:pPr>
      <w:r>
        <w:rPr>
          <w:b/>
        </w:rPr>
        <w:t xml:space="preserve">Causation and legal limits.  </w:t>
      </w:r>
      <w:r>
        <w:t>The First Circuit rejected an enumerated-powers challenge. Workers need an independent event and livelihood record.</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6">
        <w:r>
          <w:rPr>
            <w:color w:val="185B83"/>
            <w:u w:val="single"/>
          </w:rPr>
          <w:t>First Circuit opinion (media.ca1.uscourts.gov)</w:t>
        </w:r>
      </w:hyperlink>
      <w:r>
        <w:t xml:space="preserve">.  </w:t>
      </w:r>
      <w:r>
        <w:t>Pass 2 PDF anchor checked by source identity; automated extraction is limited. Action scope is subject to the linked text and worksite effects remain unproved.</w:t>
      </w:r>
    </w:p>
    <w:p>
      <w:pPr>
        <w:pStyle w:val="Heading2"/>
      </w:pPr>
      <w:r>
        <w:t>C-097  Washington Initiative 713 body-gripping traps</w:t>
      </w:r>
    </w:p>
    <w:p>
      <w:pPr>
        <w:keepNext/>
        <w:keepLines/>
      </w:pPr>
      <w:r>
        <w:rPr>
          <w:b/>
        </w:rPr>
        <w:t xml:space="preserve">Why this qualifies.  </w:t>
      </w:r>
      <w:r>
        <w:t>Washington restricted body-gripping traps for animal welfare, materially limiting the established commercial fur-taking methods of affected trappers.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Washington / fur trapping. Effective December 2000, the initiative barred body-gripping traps in commercial fur taking and sale of fur so taken, while exemptions and alternative gear remained.</w:t>
      </w:r>
    </w:p>
    <w:p>
      <w:pPr>
        <w:keepLines/>
      </w:pPr>
      <w:r>
        <w:rPr>
          <w:b/>
        </w:rPr>
        <w:t xml:space="preserve">Worksite and group record.  </w:t>
      </w:r>
      <w:r>
        <w:t>No worksite-level separation cohort established in this census.</w:t>
      </w:r>
    </w:p>
    <w:p>
      <w:pPr>
        <w:keepLines/>
      </w:pPr>
      <w:r>
        <w:rPr>
          <w:b/>
        </w:rPr>
        <w:t xml:space="preserve">Causation and legal limits.  </w:t>
      </w:r>
      <w:r>
        <w:t>Constitutional initiative litigation occurred; determine its final result and the effect of later statutory amendments before certifying.</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7">
        <w:r>
          <w:rPr>
            <w:color w:val="185B83"/>
            <w:u w:val="single"/>
          </w:rPr>
          <w:t>Washington enacted initiative (lawfilesext.leg.wa.gov)</w:t>
        </w:r>
      </w:hyperlink>
      <w:r>
        <w:t xml:space="preserve">.  </w:t>
      </w:r>
      <w:r>
        <w:t>Pass 2 source anchor reopened; action and scope reviewed at event level. This does not verify an individual worksite loss.</w:t>
      </w:r>
    </w:p>
    <w:p>
      <w:pPr>
        <w:pStyle w:val="Heading2"/>
      </w:pPr>
      <w:r>
        <w:t>C-098  Colorado Amendment 10 black bear hunting methods and season</w:t>
      </w:r>
    </w:p>
    <w:p>
      <w:pPr>
        <w:keepNext/>
        <w:keepLines/>
      </w:pPr>
      <w:r>
        <w:rPr>
          <w:b/>
        </w:rPr>
        <w:t xml:space="preserve">Why this qualifies.  </w:t>
      </w:r>
      <w:r>
        <w:t>Colorado ended spring bear hunting and specified methods for wildlife policy, materially reducing that recurring work for guides and outfitters serving those hunts.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Colorado / hunting guides. Voters in 1992 ended spring bear hunting and dog/bait methods. Hunting itself continued, so guide or outfitter losses should be tied to the prohibited season or method.</w:t>
      </w:r>
    </w:p>
    <w:p>
      <w:pPr>
        <w:keepLines/>
      </w:pPr>
      <w:r>
        <w:rPr>
          <w:b/>
        </w:rPr>
        <w:t xml:space="preserve">Worksite and group record.  </w:t>
      </w:r>
      <w:r>
        <w:t>No worksite-level separation cohort established in this census.</w:t>
      </w:r>
    </w:p>
    <w:p>
      <w:pPr>
        <w:keepLines/>
      </w:pPr>
      <w:r>
        <w:rPr>
          <w:b/>
        </w:rPr>
        <w:t xml:space="preserve">Causation and legal limits.  </w:t>
      </w:r>
      <w:r>
        <w:t>Ballot validity, state wildlife authority and any vested permit claim; obtain before-and-after guide records.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8">
        <w:r>
          <w:rPr>
            <w:color w:val="185B83"/>
            <w:u w:val="single"/>
          </w:rPr>
          <w:t>Colorado Secretary of State ballot record (historicalelectiondata.coloradosos.gov)</w:t>
        </w:r>
      </w:hyperlink>
      <w:r>
        <w:t xml:space="preserve">.  </w:t>
      </w:r>
      <w:r>
        <w:t>Pass 2 source anchor reopened; action and scope reviewed at event level. This does not verify an individual worksite loss.</w:t>
      </w:r>
    </w:p>
    <w:p>
      <w:pPr>
        <w:pStyle w:val="Heading2"/>
      </w:pPr>
      <w:r>
        <w:t>C-099  Colorado Amendment 14 trapping methods</w:t>
      </w:r>
    </w:p>
    <w:p>
      <w:pPr>
        <w:keepNext/>
        <w:keepLines/>
      </w:pPr>
      <w:r>
        <w:rPr>
          <w:b/>
        </w:rPr>
        <w:t xml:space="preserve">Why this qualifies.  </w:t>
      </w:r>
      <w:r>
        <w:t>Colorado restricted established trapping methods for animal welfare, materially limiting commercial trappers who used them.</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Colorado / fur trapping. The 1996 initiative restricted leghold, body-gripping traps, snares and poisons with exceptions. Distinguish lost commercial fur livelihoods from lawful alternative trapping.</w:t>
      </w:r>
    </w:p>
    <w:p>
      <w:pPr>
        <w:keepLines/>
      </w:pPr>
      <w:r>
        <w:rPr>
          <w:b/>
        </w:rPr>
        <w:t xml:space="preserve">Worksite and group record.  </w:t>
      </w:r>
      <w:r>
        <w:t>No worksite-level separation cohort established in this census.</w:t>
      </w:r>
    </w:p>
    <w:p>
      <w:pPr>
        <w:keepLines/>
      </w:pPr>
      <w:r>
        <w:rPr>
          <w:b/>
        </w:rPr>
        <w:t xml:space="preserve">Causation and legal limits.  </w:t>
      </w:r>
      <w:r>
        <w:t>State ballot and implementation review; compare ballot exceptions with later implementation.</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09">
        <w:r>
          <w:rPr>
            <w:color w:val="185B83"/>
            <w:u w:val="single"/>
          </w:rPr>
          <w:t>Colorado Secretary of State ballot record (historicalelectiondata.coloradosos.gov)</w:t>
        </w:r>
      </w:hyperlink>
      <w:r>
        <w:t xml:space="preserve">.  </w:t>
      </w:r>
      <w:r>
        <w:t>Pass 2 source anchor reopened; action and scope reviewed at event level. This does not verify an individual worksite loss.</w:t>
      </w:r>
    </w:p>
    <w:p>
      <w:pPr>
        <w:pStyle w:val="Heading2"/>
      </w:pPr>
      <w:r>
        <w:t>C-101  Oregon Columbia River gillnet transition</w:t>
      </w:r>
    </w:p>
    <w:p>
      <w:pPr>
        <w:keepNext/>
        <w:keepLines/>
      </w:pPr>
      <w:r>
        <w:rPr>
          <w:b/>
        </w:rPr>
        <w:t xml:space="preserve">Why this qualifies.  </w:t>
      </w:r>
      <w:r>
        <w:t>Oregon shifted Columbia River gillnet effort for fish conservation, materially restricting the former mainstem work of established permit holders even though some fishing remained.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Oregon / commercial fishery. The 2013 framework moved fishing effort and provided transition support. Subsequent adaptive management retained some mainstem fishing, so the entire fleet cannot be treated as abolished.</w:t>
      </w:r>
    </w:p>
    <w:p>
      <w:pPr>
        <w:keepLines/>
      </w:pPr>
      <w:r>
        <w:rPr>
          <w:b/>
        </w:rPr>
        <w:t xml:space="preserve">Worksite and group record.  </w:t>
      </w:r>
      <w:r>
        <w:t>No worksite-level separation cohort established in this census.</w:t>
      </w:r>
    </w:p>
    <w:p>
      <w:pPr>
        <w:keepLines/>
      </w:pPr>
      <w:r>
        <w:rPr>
          <w:b/>
        </w:rPr>
        <w:t xml:space="preserve">Causation and legal limits.  </w:t>
      </w:r>
      <w:r>
        <w:t>Fish and Wildlife Commission rule review, Columbia River compact and any permit rights; work vessel by vessel.</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0">
        <w:r>
          <w:rPr>
            <w:color w:val="185B83"/>
            <w:u w:val="single"/>
          </w:rPr>
          <w:t>Oregon legislative program report (olis.oregonlegislature.gov)</w:t>
        </w:r>
      </w:hyperlink>
      <w:r>
        <w:t xml:space="preserve">.  </w:t>
      </w:r>
      <w:r>
        <w:t>Pass 2 PDF anchor checked by source identity; automated extraction is limited. Action scope is subject to the linked text and worksite effects remain unproved.</w:t>
      </w:r>
    </w:p>
    <w:p>
      <w:pPr>
        <w:pStyle w:val="Heading2"/>
      </w:pPr>
      <w:r>
        <w:t>C-102  New York plastic carryout bags 2020</w:t>
      </w:r>
    </w:p>
    <w:p>
      <w:pPr>
        <w:keepNext/>
        <w:keepLines/>
      </w:pPr>
      <w:r>
        <w:rPr>
          <w:b/>
        </w:rPr>
        <w:t xml:space="preserve">Why this qualifies.  </w:t>
      </w:r>
      <w:r>
        <w:t>New York ended distribution of covered plastic carryout bags for waste reduction, removing that established market from affected bag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York / packaging. State law stopped covered retailers from distributing many plastic bags, with exemptions. A dedicated manufacturer may be a candidate; retail workers typically retained their jobs.</w:t>
      </w:r>
    </w:p>
    <w:p>
      <w:pPr>
        <w:keepLines/>
      </w:pPr>
      <w:r>
        <w:rPr>
          <w:b/>
        </w:rPr>
        <w:t xml:space="preserve">Worksite and group record.  </w:t>
      </w:r>
      <w:r>
        <w:t>No worksite-level separation cohort established in this census.</w:t>
      </w:r>
    </w:p>
    <w:p>
      <w:pPr>
        <w:keepLines/>
      </w:pPr>
      <w:r>
        <w:rPr>
          <w:b/>
        </w:rPr>
        <w:t xml:space="preserve">Causation and legal limits.  </w:t>
      </w:r>
      <w:r>
        <w:t>State regulatory and statutory review; a court invalidated a regulatory exemption without nullifying the statutory prohibition.</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1">
        <w:r>
          <w:rPr>
            <w:color w:val="185B83"/>
            <w:u w:val="single"/>
          </w:rPr>
          <w:t>New York Department of Environmental Conservation (dec.ny.gov)</w:t>
        </w:r>
      </w:hyperlink>
      <w:r>
        <w:t xml:space="preserve">.  </w:t>
      </w:r>
      <w:r>
        <w:t>Pass 2 source anchor reopened; action and scope reviewed at event level. This does not verify an individual worksite loss.</w:t>
      </w:r>
    </w:p>
    <w:p>
      <w:pPr>
        <w:pStyle w:val="Heading2"/>
      </w:pPr>
      <w:r>
        <w:t>C-103  California single-use carryout bags SB 270 and Proposition 67</w:t>
      </w:r>
    </w:p>
    <w:p>
      <w:pPr>
        <w:keepNext/>
        <w:keepLines/>
      </w:pPr>
      <w:r>
        <w:rPr>
          <w:b/>
        </w:rPr>
        <w:t xml:space="preserve">Why this qualifies.  </w:t>
      </w:r>
      <w:r>
        <w:t>California ended many single-use checkout bags for waste reduction after the referendum, materially contracting the established thin-bag supply market.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packaging. The 2014 act was suspended pending referendum and took effect after the 2016 vote. Distinguish thin-bag lines from certified reusable-bag substitutes.</w:t>
      </w:r>
    </w:p>
    <w:p>
      <w:pPr>
        <w:keepLines/>
      </w:pPr>
      <w:r>
        <w:rPr>
          <w:b/>
        </w:rPr>
        <w:t xml:space="preserve">Worksite and group record.  </w:t>
      </w:r>
      <w:r>
        <w:t>No worksite-level separation cohort established in this census.</w:t>
      </w:r>
    </w:p>
    <w:p>
      <w:pPr>
        <w:keepLines/>
      </w:pPr>
      <w:r>
        <w:rPr>
          <w:b/>
        </w:rPr>
        <w:t xml:space="preserve">Causation and legal limits.  </w:t>
      </w:r>
      <w:r>
        <w:t>Referendum and regulatory challenges; overlapping local bans may have caused earlier losses.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2">
        <w:r>
          <w:rPr>
            <w:color w:val="185B83"/>
            <w:u w:val="single"/>
          </w:rPr>
          <w:t>California Attorney General (oag.ca.gov)</w:t>
        </w:r>
      </w:hyperlink>
      <w:r>
        <w:t xml:space="preserve">.  </w:t>
      </w:r>
      <w:r>
        <w:t>Pass 2 source anchor reopened; action and scope reviewed at event level. This does not verify an individual worksite loss.</w:t>
      </w:r>
    </w:p>
    <w:p>
      <w:pPr>
        <w:pStyle w:val="Heading2"/>
      </w:pPr>
      <w:r>
        <w:t>C-104  California SB 1053 plastic checkout bags 2026</w:t>
      </w:r>
    </w:p>
    <w:p>
      <w:pPr>
        <w:keepNext/>
        <w:keepLines/>
      </w:pPr>
      <w:r>
        <w:rPr>
          <w:b/>
        </w:rPr>
        <w:t xml:space="preserve">Why this qualifies.  </w:t>
      </w:r>
      <w:r>
        <w:t>California's 2026 paper-only checkout rule again changed the market for waste reduction, this time eliminating the reusable-plastic checkout line on which some suppliers had adapted.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packaging. From January 2026, the state replaced the prior reusable-plastic-bag system with paper-only checkout distribution. It can injure firms that adapted to SB 270, but do not count pre-2016 losses twice.</w:t>
      </w:r>
    </w:p>
    <w:p>
      <w:pPr>
        <w:keepLines/>
      </w:pPr>
      <w:r>
        <w:rPr>
          <w:b/>
        </w:rPr>
        <w:t xml:space="preserve">Worksite and group record.  </w:t>
      </w:r>
      <w:r>
        <w:t>No worksite-level separation cohort established in this census.</w:t>
      </w:r>
    </w:p>
    <w:p>
      <w:pPr>
        <w:keepLines/>
      </w:pPr>
      <w:r>
        <w:rPr>
          <w:b/>
        </w:rPr>
        <w:t xml:space="preserve">Causation and legal limits.  </w:t>
      </w:r>
      <w:r>
        <w:t>Statutory scope and enforcement review; distinguish sales at checkout from other lawful plastic-bag uses.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3">
        <w:r>
          <w:rPr>
            <w:color w:val="185B83"/>
            <w:u w:val="single"/>
          </w:rPr>
          <w:t>CalRecycle current requirements (calrecycle.ca.gov)</w:t>
        </w:r>
      </w:hyperlink>
      <w:r>
        <w:t xml:space="preserve">.  </w:t>
      </w:r>
      <w:r>
        <w:t>Pass 2 source anchor reopened; action and scope reviewed at event level. This does not verify an individual worksite loss.</w:t>
      </w:r>
    </w:p>
    <w:p>
      <w:pPr>
        <w:pStyle w:val="Heading2"/>
      </w:pPr>
      <w:r>
        <w:t>C-105  Colorado single-use carryout bags 2024</w:t>
      </w:r>
    </w:p>
    <w:p>
      <w:pPr>
        <w:keepNext/>
        <w:keepLines/>
      </w:pPr>
      <w:r>
        <w:rPr>
          <w:b/>
        </w:rPr>
        <w:t xml:space="preserve">Why this qualifies.  </w:t>
      </w:r>
      <w:r>
        <w:t>Colorado barred covered single-use plastic bags to reduce waste, materially shrinking the existing bag-supply trade.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Colorado / packaging. HB 21-1162 ended covered stores’ provision of single-use plastic bags after a fee transition. Trace specialized in-state producers and substitutions.</w:t>
      </w:r>
    </w:p>
    <w:p>
      <w:pPr>
        <w:keepLines/>
      </w:pPr>
      <w:r>
        <w:rPr>
          <w:b/>
        </w:rPr>
        <w:t xml:space="preserve">Worksite and group record.  </w:t>
      </w:r>
      <w:r>
        <w:t>No worksite-level separation cohort established in this census.</w:t>
      </w:r>
    </w:p>
    <w:p>
      <w:pPr>
        <w:keepLines/>
      </w:pPr>
      <w:r>
        <w:rPr>
          <w:b/>
        </w:rPr>
        <w:t xml:space="preserve">Causation and legal limits.  </w:t>
      </w:r>
      <w:r>
        <w:t>State statute, agency implementation and home-rule issues; do not infer all plastic manufacturing ended.</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4">
        <w:r>
          <w:rPr>
            <w:color w:val="185B83"/>
            <w:u w:val="single"/>
          </w:rPr>
          <w:t>Colorado General Assembly (leg.colorado.gov)</w:t>
        </w:r>
      </w:hyperlink>
      <w:r>
        <w:t xml:space="preserve">.  </w:t>
      </w:r>
      <w:r>
        <w:t>Pass 2: enrolled law summary confirms January 2024 restriction and inventory exception through June 2024.</w:t>
      </w:r>
    </w:p>
    <w:p>
      <w:pPr>
        <w:pStyle w:val="Heading2"/>
      </w:pPr>
      <w:r>
        <w:t>C-106  Colorado expanded-polystyrene food containers 2024</w:t>
      </w:r>
    </w:p>
    <w:p>
      <w:pPr>
        <w:keepNext/>
        <w:keepLines/>
      </w:pPr>
      <w:r>
        <w:rPr>
          <w:b/>
        </w:rPr>
        <w:t xml:space="preserve">Why this qualifies.  </w:t>
      </w:r>
      <w:r>
        <w:t>Colorado barred defined foam food containers for waste reduction, removing an established packaging market from its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Colorado / packaging. The same act prohibited retail food establishments from distributing defined foam containers, with an inventory transition. Treat as a distinct product workforce from bags.</w:t>
      </w:r>
    </w:p>
    <w:p>
      <w:pPr>
        <w:keepLines/>
      </w:pPr>
      <w:r>
        <w:rPr>
          <w:b/>
        </w:rPr>
        <w:t xml:space="preserve">Worksite and group record.  </w:t>
      </w:r>
      <w:r>
        <w:t>No worksite-level separation cohort established in this census.</w:t>
      </w:r>
    </w:p>
    <w:p>
      <w:pPr>
        <w:keepLines/>
      </w:pPr>
      <w:r>
        <w:rPr>
          <w:b/>
        </w:rPr>
        <w:t xml:space="preserve">Causation and legal limits.  </w:t>
      </w:r>
      <w:r>
        <w:t>Same statutory route; avoid duplicate workers whose jobs served both products.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4">
        <w:r>
          <w:rPr>
            <w:color w:val="185B83"/>
            <w:u w:val="single"/>
          </w:rPr>
          <w:t>Colorado enacted bill (leg.colorado.gov)</w:t>
        </w:r>
      </w:hyperlink>
      <w:r>
        <w:t xml:space="preserve">.  </w:t>
      </w:r>
      <w:r>
        <w:t>Pass 2: same enacted Colorado law independently restricts expanded polystyrene food containers, with exceptions.</w:t>
      </w:r>
    </w:p>
    <w:p>
      <w:pPr>
        <w:pStyle w:val="Heading2"/>
      </w:pPr>
      <w:r>
        <w:t>C-107  Maine polystyrene food-service containers 2021</w:t>
      </w:r>
    </w:p>
    <w:p>
      <w:pPr>
        <w:keepNext/>
        <w:keepLines/>
      </w:pPr>
      <w:r>
        <w:rPr>
          <w:b/>
        </w:rPr>
        <w:t xml:space="preserve">Why this qualifies.  </w:t>
      </w:r>
      <w:r>
        <w:t>Maine barred defined foam food-service containers to reduce waste, removing a covered product market from existing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Maine / packaging. Covered establishments may not provide food in defined foam containers; fish and seafood packaging and other exceptions matter. Verify local producers and substitution.</w:t>
      </w:r>
    </w:p>
    <w:p>
      <w:pPr>
        <w:keepLines/>
      </w:pPr>
      <w:r>
        <w:rPr>
          <w:b/>
        </w:rPr>
        <w:t xml:space="preserve">Worksite and group record.  </w:t>
      </w:r>
      <w:r>
        <w:t>No worksite-level separation cohort established in this census.</w:t>
      </w:r>
    </w:p>
    <w:p>
      <w:pPr>
        <w:keepLines/>
      </w:pPr>
      <w:r>
        <w:rPr>
          <w:b/>
        </w:rPr>
        <w:t xml:space="preserve">Causation and legal limits.  </w:t>
      </w:r>
      <w:r>
        <w:t>State statutory interpretation, exemptions and enforcement review.</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5">
        <w:r>
          <w:rPr>
            <w:color w:val="185B83"/>
            <w:u w:val="single"/>
          </w:rPr>
          <w:t>Maine enacted Chapter 62 (legislature.maine.gov)</w:t>
        </w:r>
      </w:hyperlink>
      <w:r>
        <w:t xml:space="preserve">.  </w:t>
      </w:r>
      <w:r>
        <w:t>Pass 2 source anchor reopened; action and scope reviewed at event level. This does not verify an individual worksite loss.</w:t>
      </w:r>
    </w:p>
    <w:p>
      <w:pPr>
        <w:pStyle w:val="Heading2"/>
      </w:pPr>
      <w:r>
        <w:t>C-108  Maryland expanded-polystyrene food-service products 2020</w:t>
      </w:r>
    </w:p>
    <w:p>
      <w:pPr>
        <w:keepNext/>
        <w:keepLines/>
      </w:pPr>
      <w:r>
        <w:rPr>
          <w:b/>
        </w:rPr>
        <w:t xml:space="preserve">Why this qualifies.  </w:t>
      </w:r>
      <w:r>
        <w:t>Maryland barred sale and food-service use of defined foam products to reduce waste, materially restricting existing producers and distributors.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Maryland / packaging. The state banned sale of defined foam food products and food service use. The food-service compliance deadline was extended from July to October 2020 during the emergency; map each provision separately.</w:t>
      </w:r>
    </w:p>
    <w:p>
      <w:pPr>
        <w:keepLines/>
      </w:pPr>
      <w:r>
        <w:rPr>
          <w:b/>
        </w:rPr>
        <w:t xml:space="preserve">Worksite and group record.  </w:t>
      </w:r>
      <w:r>
        <w:t>No worksite-level separation cohort established in this census.</w:t>
      </w:r>
    </w:p>
    <w:p>
      <w:pPr>
        <w:keepLines/>
      </w:pPr>
      <w:r>
        <w:rPr>
          <w:b/>
        </w:rPr>
        <w:t xml:space="preserve">Causation and legal limits.  </w:t>
      </w:r>
      <w:r>
        <w:t>Statutory and implementation review, exceptions and county enforcement.</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6">
        <w:r>
          <w:rPr>
            <w:color w:val="185B83"/>
            <w:u w:val="single"/>
          </w:rPr>
          <w:t>Maryland Department of the Environment (mde.maryland.gov)</w:t>
        </w:r>
      </w:hyperlink>
      <w:r>
        <w:t xml:space="preserve">.  </w:t>
      </w:r>
      <w:r>
        <w:t>Pass 2 source anchor reopened; action and scope reviewed at event level. This does not verify an individual worksite loss.</w:t>
      </w:r>
    </w:p>
    <w:p>
      <w:pPr>
        <w:pStyle w:val="Heading2"/>
      </w:pPr>
      <w:r>
        <w:t>C-109  New Jersey single-use carryout bags 2022</w:t>
      </w:r>
    </w:p>
    <w:p>
      <w:pPr>
        <w:keepNext/>
        <w:keepLines/>
      </w:pPr>
      <w:r>
        <w:rPr>
          <w:b/>
        </w:rPr>
        <w:t xml:space="preserve">Why this qualifies.  </w:t>
      </w:r>
      <w:r>
        <w:t>New Jersey ended covered single-use bag distribution for waste reduction, materially shrinking the market served by existing bag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Jersey / packaging. P.L. 2020 c.117 ended covered bag distribution in May 2022. Product producers, not retail staff as a whole, are the plausible occupational cohort.</w:t>
      </w:r>
    </w:p>
    <w:p>
      <w:pPr>
        <w:keepLines/>
      </w:pPr>
      <w:r>
        <w:rPr>
          <w:b/>
        </w:rPr>
        <w:t xml:space="preserve">Worksite and group record.  </w:t>
      </w:r>
      <w:r>
        <w:t>No worksite-level separation cohort established in this census.</w:t>
      </w:r>
    </w:p>
    <w:p>
      <w:pPr>
        <w:keepLines/>
      </w:pPr>
      <w:r>
        <w:rPr>
          <w:b/>
        </w:rPr>
        <w:t xml:space="preserve">Causation and legal limits.  </w:t>
      </w:r>
      <w:r>
        <w:t>State regulatory and exemption review; compare local bans and later business adaptation.</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7">
        <w:r>
          <w:rPr>
            <w:color w:val="185B83"/>
            <w:u w:val="single"/>
          </w:rPr>
          <w:t>New Jersey Department of Environmental Protection (dep.nj.gov)</w:t>
        </w:r>
      </w:hyperlink>
      <w:r>
        <w:t xml:space="preserve">.  </w:t>
      </w:r>
      <w:r>
        <w:t>Pass 2: NJDEP implementation guide confirms May 2022 bag restriction and statutory exceptions.</w:t>
      </w:r>
    </w:p>
    <w:p>
      <w:pPr>
        <w:pStyle w:val="Heading2"/>
      </w:pPr>
      <w:r>
        <w:t>C-110  New Jersey polystyrene food-service products 2022</w:t>
      </w:r>
    </w:p>
    <w:p>
      <w:pPr>
        <w:keepNext/>
        <w:keepLines/>
      </w:pPr>
      <w:r>
        <w:rPr>
          <w:b/>
        </w:rPr>
        <w:t xml:space="preserve">Why this qualifies.  </w:t>
      </w:r>
      <w:r>
        <w:t>New Jersey restricted defined foam food-service products to reduce waste, materially reducing that established supply market as exemptions expire.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Jersey / packaging. The same act restricted defined foam food service products; temporary product-specific exemptions can run through 2027. Track the actual product and exemption date.</w:t>
      </w:r>
    </w:p>
    <w:p>
      <w:pPr>
        <w:keepLines/>
      </w:pPr>
      <w:r>
        <w:rPr>
          <w:b/>
        </w:rPr>
        <w:t xml:space="preserve">Worksite and group record.  </w:t>
      </w:r>
      <w:r>
        <w:t>No worksite-level separation cohort established in this census.</w:t>
      </w:r>
    </w:p>
    <w:p>
      <w:pPr>
        <w:keepLines/>
      </w:pPr>
      <w:r>
        <w:rPr>
          <w:b/>
        </w:rPr>
        <w:t xml:space="preserve">Causation and legal limits.  </w:t>
      </w:r>
      <w:r>
        <w:t>Administrative exemption and state statutory review.</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7">
        <w:r>
          <w:rPr>
            <w:color w:val="185B83"/>
            <w:u w:val="single"/>
          </w:rPr>
          <w:t>New Jersey enacted law (dep.nj.gov)</w:t>
        </w:r>
      </w:hyperlink>
      <w:r>
        <w:t xml:space="preserve">.  </w:t>
      </w:r>
      <w:r>
        <w:t>Pass 2: NJDEP implementation guide confirms foam restriction, separate from bag supply effect.</w:t>
      </w:r>
    </w:p>
    <w:p>
      <w:pPr>
        <w:pStyle w:val="Heading2"/>
      </w:pPr>
      <w:r>
        <w:t>C-111  New York expanded-polystyrene and loose-fill packaging 2022</w:t>
      </w:r>
    </w:p>
    <w:p>
      <w:pPr>
        <w:keepNext/>
        <w:keepLines/>
      </w:pPr>
      <w:r>
        <w:rPr>
          <w:b/>
        </w:rPr>
        <w:t xml:space="preserve">Why this qualifies.  </w:t>
      </w:r>
      <w:r>
        <w:t>New York barred defined foam food containers and loose-fill packaging to reduce waste, taking those established lines out of the covered market.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York / packaging. State law barred covered foam food containers and packing peanuts from January 2022. Treat these as separable product lines at the worker level.</w:t>
      </w:r>
    </w:p>
    <w:p>
      <w:pPr>
        <w:keepLines/>
      </w:pPr>
      <w:r>
        <w:rPr>
          <w:b/>
        </w:rPr>
        <w:t xml:space="preserve">Worksite and group record.  </w:t>
      </w:r>
      <w:r>
        <w:t>No worksite-level separation cohort established in this census.</w:t>
      </w:r>
    </w:p>
    <w:p>
      <w:pPr>
        <w:keepLines/>
      </w:pPr>
      <w:r>
        <w:rPr>
          <w:b/>
        </w:rPr>
        <w:t xml:space="preserve">Causation and legal limits.  </w:t>
      </w:r>
      <w:r>
        <w:t>State statutory and DEC rule review; account for prior city and county bans.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8">
        <w:r>
          <w:rPr>
            <w:color w:val="185B83"/>
            <w:u w:val="single"/>
          </w:rPr>
          <w:t>New York Department of Environmental Conservation (dec.ny.gov)</w:t>
        </w:r>
      </w:hyperlink>
      <w:r>
        <w:t xml:space="preserve">.  </w:t>
      </w:r>
      <w:r>
        <w:t>Pass 2 source anchor reopened; action and scope reviewed at event level. This does not verify an individual worksite loss.</w:t>
      </w:r>
    </w:p>
    <w:p>
      <w:pPr>
        <w:pStyle w:val="Heading2"/>
      </w:pPr>
      <w:r>
        <w:t>C-112  Hawaii shark-fin sales 2010</w:t>
      </w:r>
    </w:p>
    <w:p>
      <w:pPr>
        <w:keepNext/>
        <w:keepLines/>
      </w:pPr>
      <w:r>
        <w:rPr>
          <w:b/>
        </w:rPr>
        <w:t xml:space="preserve">Why this qualifies.  </w:t>
      </w:r>
      <w:r>
        <w:t>Hawaii banned shark-fin commerce for conservation well before the federal law, removing an existing state market from fin traders.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Hawaii / marine products. Act 148 ended shark-fin possession, sale and distribution, with a limited inventory transition. It predates the federal C-089 prohibition; any Hawaii worker loss belongs first to this event.</w:t>
      </w:r>
    </w:p>
    <w:p>
      <w:pPr>
        <w:keepLines/>
      </w:pPr>
      <w:r>
        <w:rPr>
          <w:b/>
        </w:rPr>
        <w:t xml:space="preserve">Worksite and group record.  </w:t>
      </w:r>
      <w:r>
        <w:t>No worksite-level separation cohort established in this census.</w:t>
      </w:r>
    </w:p>
    <w:p>
      <w:pPr>
        <w:keepLines/>
      </w:pPr>
      <w:r>
        <w:rPr>
          <w:b/>
        </w:rPr>
        <w:t xml:space="preserve">Causation and legal limits.  </w:t>
      </w:r>
      <w:r>
        <w:t>State statutory and constitutional review; distinguish fin trade from otherwise lawful shark fishing.</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19">
        <w:r>
          <w:rPr>
            <w:color w:val="185B83"/>
            <w:u w:val="single"/>
          </w:rPr>
          <w:t>Hawaii enacted Act 148 (data.capitol.hawaii.gov)</w:t>
        </w:r>
      </w:hyperlink>
      <w:r>
        <w:t xml:space="preserve">.  </w:t>
      </w:r>
      <w:r>
        <w:t>Pass 2 PDF anchor checked by source identity; automated extraction is limited. Action scope is subject to the linked text and worksite effects remain unproved.</w:t>
      </w:r>
    </w:p>
    <w:p>
      <w:pPr>
        <w:pStyle w:val="Heading2"/>
      </w:pPr>
      <w:r>
        <w:t>C-118  District of Columbia expanded-polystyrene foodware 2016</w:t>
      </w:r>
    </w:p>
    <w:p>
      <w:pPr>
        <w:keepNext/>
        <w:keepLines/>
      </w:pPr>
      <w:r>
        <w:rPr>
          <w:b/>
        </w:rPr>
        <w:t xml:space="preserve">Why this qualifies.  </w:t>
      </w:r>
      <w:r>
        <w:t>The District of Columbia banned defined foam foodware to reduce waste, ending the covered local market for specialty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District of Columbia / packaging. The District prohibited defined foam food-service products. Measure the material loss of directly affected specialty distributors in the District market.</w:t>
      </w:r>
    </w:p>
    <w:p>
      <w:pPr>
        <w:keepLines/>
      </w:pPr>
      <w:r>
        <w:rPr>
          <w:b/>
        </w:rPr>
        <w:t xml:space="preserve">Worksite and group record.  </w:t>
      </w:r>
      <w:r>
        <w:t>No worksite-level separation cohort established in this census.</w:t>
      </w:r>
    </w:p>
    <w:p>
      <w:pPr>
        <w:keepLines/>
      </w:pPr>
      <w:r>
        <w:rPr>
          <w:b/>
        </w:rPr>
        <w:t xml:space="preserve">Causation and legal limits.  </w:t>
      </w:r>
      <w:r>
        <w:t>District statutory and administrative review; neighboring local bans create overlapping causal periods.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20">
        <w:r>
          <w:rPr>
            <w:color w:val="185B83"/>
            <w:u w:val="single"/>
          </w:rPr>
          <w:t>District Department of Energy and Environment (doee.dc.gov)</w:t>
        </w:r>
      </w:hyperlink>
      <w:r>
        <w:t xml:space="preserve">.  </w:t>
      </w:r>
      <w:r>
        <w:t>Pass 2 source anchor reopened; action and scope reviewed at event level. This does not verify an individual worksite loss.</w:t>
      </w:r>
    </w:p>
    <w:p>
      <w:pPr>
        <w:pStyle w:val="Heading2"/>
      </w:pPr>
      <w:r>
        <w:t>C-119  Vermont single-use products law 2020</w:t>
      </w:r>
    </w:p>
    <w:p>
      <w:pPr>
        <w:keepNext/>
        <w:keepLines/>
      </w:pPr>
      <w:r>
        <w:rPr>
          <w:b/>
        </w:rPr>
        <w:t xml:space="preserve">Why this qualifies.  </w:t>
      </w:r>
      <w:r>
        <w:t>Vermont barred covered single-use checkout bags and other defined foodware to reduce waste, materially shrinking those established supply markets.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Vermont / packaging. Act 69 stopped covered establishments from offering single-use plastic checkout bags and other defined foodware. It did not ban retail sale of all plastic bags.</w:t>
      </w:r>
    </w:p>
    <w:p>
      <w:pPr>
        <w:keepLines/>
      </w:pPr>
      <w:r>
        <w:rPr>
          <w:b/>
        </w:rPr>
        <w:t xml:space="preserve">Worksite and group record.  </w:t>
      </w:r>
      <w:r>
        <w:t>No worksite-level separation cohort established in this census.</w:t>
      </w:r>
    </w:p>
    <w:p>
      <w:pPr>
        <w:keepLines/>
      </w:pPr>
      <w:r>
        <w:rPr>
          <w:b/>
        </w:rPr>
        <w:t xml:space="preserve">Causation and legal limits.  </w:t>
      </w:r>
      <w:r>
        <w:t>Statutory scope and exemptions; separate bag, foam and straw business lines.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21">
        <w:r>
          <w:rPr>
            <w:color w:val="185B83"/>
            <w:u w:val="single"/>
          </w:rPr>
          <w:t>Vermont Department of Environmental Conservation (dec.vermont.gov)</w:t>
        </w:r>
      </w:hyperlink>
      <w:r>
        <w:t xml:space="preserve">.  </w:t>
      </w:r>
      <w:r>
        <w:t>Pass 2 direct fetch failed; prior official citation or indexed result retained. Reopen the underlying text before worksite certification.</w:t>
      </w:r>
    </w:p>
    <w:p>
      <w:pPr>
        <w:pStyle w:val="Heading2"/>
      </w:pPr>
      <w:r>
        <w:t>C-120  Oregon foam foodware and loose fill 2025</w:t>
      </w:r>
    </w:p>
    <w:p>
      <w:pPr>
        <w:keepNext/>
        <w:keepLines/>
      </w:pPr>
      <w:r>
        <w:rPr>
          <w:b/>
        </w:rPr>
        <w:t xml:space="preserve">Why this qualifies.  </w:t>
      </w:r>
      <w:r>
        <w:t>Oregon barred defined foam foodware and loose-fill products to reduce waste, ending covered sales by existing packaging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Oregon / packaging. SB 543 prohibits food vendors from using foam containers and prohibits sale of foam containers and packing peanuts. Different affected trades may require separate certification units.</w:t>
      </w:r>
    </w:p>
    <w:p>
      <w:pPr>
        <w:keepLines/>
      </w:pPr>
      <w:r>
        <w:rPr>
          <w:b/>
        </w:rPr>
        <w:t xml:space="preserve">Worksite and group record.  </w:t>
      </w:r>
      <w:r>
        <w:t>No worksite-level separation cohort established in this census.</w:t>
      </w:r>
    </w:p>
    <w:p>
      <w:pPr>
        <w:keepLines/>
      </w:pPr>
      <w:r>
        <w:rPr>
          <w:b/>
        </w:rPr>
        <w:t xml:space="preserve">Causation and legal limits.  </w:t>
      </w:r>
      <w:r>
        <w:t>Oregon rule review and statutory exemptions; count conversions and prior municipal bans.</w:t>
      </w:r>
    </w:p>
    <w:p>
      <w:pPr>
        <w:keepLines/>
      </w:pPr>
      <w:r>
        <w:rPr>
          <w:b/>
        </w:rPr>
        <w:t xml:space="preserve">Further event evidence.  </w:t>
      </w:r>
      <w:r>
        <w:t>Reopen live rule, exceptions, worksite and group-separation records before event certification.</w:t>
      </w:r>
    </w:p>
    <w:p>
      <w:pPr>
        <w:keepLines/>
        <w:spacing w:after="120"/>
      </w:pPr>
      <w:r>
        <w:rPr>
          <w:b/>
        </w:rPr>
        <w:t xml:space="preserve">Sources and citation check.  </w:t>
      </w:r>
      <w:hyperlink r:id="rId122">
        <w:r>
          <w:rPr>
            <w:color w:val="185B83"/>
            <w:u w:val="single"/>
          </w:rPr>
          <w:t>Oregon Department of Environmental Quality (oregon.gov)</w:t>
        </w:r>
      </w:hyperlink>
      <w:r>
        <w:t xml:space="preserve">.  </w:t>
      </w:r>
      <w:r>
        <w:t>Pass 2 source anchor reopened; action and scope reviewed at event level. This does not verify an individual worksite loss.</w:t>
      </w:r>
    </w:p>
    <w:p>
      <w:pPr>
        <w:pStyle w:val="Heading2"/>
      </w:pPr>
      <w:r>
        <w:t>C-122  Shenandoah National Park land acquisition and displacement</w:t>
      </w:r>
    </w:p>
    <w:p>
      <w:pPr>
        <w:keepNext/>
        <w:keepLines/>
      </w:pPr>
      <w:r>
        <w:rPr>
          <w:b/>
        </w:rPr>
        <w:t xml:space="preserve">Why this qualifies.  </w:t>
      </w:r>
      <w:r>
        <w:t>Virginia acquired and condemned occupied mountain land for a national park, displacing smaller farming and business communities so the broader public could enjoy conservation and recreation.</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Virginia and United States | 1928–1930s. Virginia bought or condemned Blue Ridge tracts to create a national park and conveyed them to the United States. Existing residents, tenant farmers, shops and mills were displaced from the park area.</w:t>
      </w:r>
    </w:p>
    <w:p>
      <w:pPr>
        <w:keepLines/>
      </w:pPr>
      <w:r>
        <w:rPr>
          <w:b/>
        </w:rPr>
        <w:t xml:space="preserve">Worksite and group record.  </w:t>
      </w:r>
      <w:r>
        <w:t>NPS identifies families, tenants, stores and mills in the affected mountain communities; individual farm and business loss requires tract records.</w:t>
      </w:r>
    </w:p>
    <w:p>
      <w:pPr>
        <w:keepLines/>
      </w:pPr>
      <w:r>
        <w:rPr>
          <w:b/>
        </w:rPr>
        <w:t xml:space="preserve">Causation and legal limits.  </w:t>
      </w:r>
      <w:r>
        <w:t>The public park purpose is clear. Payment for title and relocation varied, and eminent-domain compensation must be credited; mere residence without a material livelihood loss is not presumed.</w:t>
      </w:r>
    </w:p>
    <w:p>
      <w:pPr>
        <w:keepLines/>
      </w:pPr>
      <w:r>
        <w:rPr>
          <w:b/>
        </w:rPr>
        <w:t xml:space="preserve">Further event evidence.  </w:t>
      </w:r>
      <w:r>
        <w:t>Link parcel, tenancy and occupation records to actual acquisition dates and identify any unreimbursed material livelihood loss.</w:t>
      </w:r>
    </w:p>
    <w:p>
      <w:pPr>
        <w:keepLines/>
        <w:spacing w:after="120"/>
      </w:pPr>
      <w:r>
        <w:rPr>
          <w:b/>
        </w:rPr>
        <w:t xml:space="preserve">Sources and citation check.  </w:t>
      </w:r>
      <w:hyperlink r:id="rId123">
        <w:r>
          <w:rPr>
            <w:color w:val="185B83"/>
            <w:u w:val="single"/>
          </w:rPr>
          <w:t>Virginia Public Park Condemnation Act and park acquisitions (nps.gov)</w:t>
        </w:r>
      </w:hyperlink>
      <w:r>
        <w:t xml:space="preserve">; </w:t>
      </w:r>
      <w:hyperlink r:id="rId124">
        <w:r>
          <w:rPr>
            <w:color w:val="185B83"/>
            <w:u w:val="single"/>
          </w:rPr>
          <w:t>Additional legal or source record (nps.gov)</w:t>
        </w:r>
      </w:hyperlink>
      <w:r>
        <w:t xml:space="preserve">.  </w:t>
      </w:r>
      <w:r>
        <w:t>Pass 3 official NPS park and condemnation history; the affected business and farm subset needs parcel-level corroboration.</w:t>
      </w:r>
    </w:p>
    <w:p>
      <w:pPr>
        <w:pStyle w:val="Heading2"/>
      </w:pPr>
      <w:r>
        <w:t>C-123  1978 CFC aerosol-propellant ban</w:t>
      </w:r>
    </w:p>
    <w:p>
      <w:pPr>
        <w:keepNext/>
        <w:keepLines/>
      </w:pPr>
      <w:r>
        <w:rPr>
          <w:b/>
        </w:rPr>
        <w:t xml:space="preserve">Why this qualifies.  </w:t>
      </w:r>
      <w:r>
        <w:t>Federal ozone-protection rules ended an established CFC aerosol product line, imposing an immediate market loss and process change on its makers and workers.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and FDA | 1978–1979. Federal rules ended manufacture of bulk fluorocarbons for most aerosol propellants in October 1978, aerosol product manufacture in December, and interstate shipment of remaining stocks in April 1979 to protect the ozone layer.</w:t>
      </w:r>
    </w:p>
    <w:p>
      <w:pPr>
        <w:keepLines/>
      </w:pPr>
      <w:r>
        <w:rPr>
          <w:b/>
        </w:rPr>
        <w:t xml:space="preserve">Worksite and group record.  </w:t>
      </w:r>
      <w:r>
        <w:t>Existing fluorocarbon propellant makers, aerosol fillers and workers tied to the restricted line faced the loss of that lawful product market.</w:t>
      </w:r>
    </w:p>
    <w:p>
      <w:pPr>
        <w:keepLines/>
      </w:pPr>
      <w:r>
        <w:rPr>
          <w:b/>
        </w:rPr>
        <w:t xml:space="preserve">Causation and legal limits.  </w:t>
      </w:r>
      <w:r>
        <w:t>Exceptions and substitution to alternative propellants limit firm-specific loss; assess actual affected sales and jobs rather than assume all aerosol operations ended.</w:t>
      </w:r>
    </w:p>
    <w:p>
      <w:pPr>
        <w:keepLines/>
      </w:pPr>
      <w:r>
        <w:rPr>
          <w:b/>
        </w:rPr>
        <w:t xml:space="preserve">Further event evidence.  </w:t>
      </w:r>
      <w:r>
        <w:t>Identify covered products, historic production and affected worksite operations at each phase-in date.</w:t>
      </w:r>
    </w:p>
    <w:p>
      <w:pPr>
        <w:keepLines/>
        <w:spacing w:after="120"/>
      </w:pPr>
      <w:r>
        <w:rPr>
          <w:b/>
        </w:rPr>
        <w:t xml:space="preserve">Sources and citation check.  </w:t>
      </w:r>
      <w:hyperlink r:id="rId125">
        <w:r>
          <w:rPr>
            <w:color w:val="185B83"/>
            <w:u w:val="single"/>
          </w:rPr>
          <w:t>Federal aerosol fluorocarbon restrictions (epa.gov)</w:t>
        </w:r>
      </w:hyperlink>
      <w:r>
        <w:t xml:space="preserve">; </w:t>
      </w:r>
      <w:hyperlink r:id="rId126">
        <w:r>
          <w:rPr>
            <w:color w:val="185B83"/>
            <w:u w:val="single"/>
          </w:rPr>
          <w:t>Additional legal or source record (nepis.epa.gov)</w:t>
        </w:r>
      </w:hyperlink>
      <w:r>
        <w:t xml:space="preserve">.  </w:t>
      </w:r>
      <w:r>
        <w:t>Pass 3 EPA original announcement and regulatory history specify distinct manufacture and shipment dates.</w:t>
      </w:r>
    </w:p>
    <w:p>
      <w:pPr>
        <w:pStyle w:val="Heading2"/>
      </w:pPr>
      <w:r>
        <w:t>C-124  Class I ozone-depleting substance production phaseout</w:t>
      </w:r>
    </w:p>
    <w:p>
      <w:pPr>
        <w:keepNext/>
        <w:keepLines/>
      </w:pPr>
      <w:r>
        <w:rPr>
          <w:b/>
        </w:rPr>
        <w:t xml:space="preserve">Why this qualifies.  </w:t>
      </w:r>
      <w:r>
        <w:t>The Clean Air Act's ozone phaseout ended most new Class I ozone-depleting chemical production, materially changing established chemical makers' and importers' work.</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EPA / Clean Air Act | 1994–1996. EPA phased out production and import of specified Class I ozone-depleting substances, including halons after 1994 and most CFCs at the end of 1995, for ozone protection.</w:t>
      </w:r>
    </w:p>
    <w:p>
      <w:pPr>
        <w:keepLines/>
      </w:pPr>
      <w:r>
        <w:rPr>
          <w:b/>
        </w:rPr>
        <w:t xml:space="preserve">Worksite and group record.  </w:t>
      </w:r>
      <w:r>
        <w:t>Established chemical producers, importers and downstream operations dependent on new covered substances lost or had to change product lines.</w:t>
      </w:r>
    </w:p>
    <w:p>
      <w:pPr>
        <w:keepLines/>
      </w:pPr>
      <w:r>
        <w:rPr>
          <w:b/>
        </w:rPr>
        <w:t xml:space="preserve">Causation and legal limits.  </w:t>
      </w:r>
      <w:r>
        <w:t>This is separate from the 1978 aerosol-use restriction. Exempt essential uses and inventories remain; supplier-specific effects require records.</w:t>
      </w:r>
    </w:p>
    <w:p>
      <w:pPr>
        <w:keepLines/>
      </w:pPr>
      <w:r>
        <w:rPr>
          <w:b/>
        </w:rPr>
        <w:t xml:space="preserve">Further event evidence.  </w:t>
      </w:r>
      <w:r>
        <w:t>Map substance and production rights to each firm's pre-phaseout activity, exemptions and later substitutes.</w:t>
      </w:r>
    </w:p>
    <w:p>
      <w:pPr>
        <w:keepLines/>
        <w:spacing w:after="120"/>
      </w:pPr>
      <w:r>
        <w:rPr>
          <w:b/>
        </w:rPr>
        <w:t xml:space="preserve">Sources and citation check.  </w:t>
      </w:r>
      <w:hyperlink r:id="rId127">
        <w:r>
          <w:rPr>
            <w:color w:val="185B83"/>
            <w:u w:val="single"/>
          </w:rPr>
          <w:t>Title VI Clean Air Act and EPA production phaseout (epa.gov)</w:t>
        </w:r>
      </w:hyperlink>
      <w:r>
        <w:t xml:space="preserve">; </w:t>
      </w:r>
      <w:hyperlink r:id="rId128">
        <w:r>
          <w:rPr>
            <w:color w:val="185B83"/>
            <w:u w:val="single"/>
          </w:rPr>
          <w:t>Additional legal or source record (nepis.epa.gov)</w:t>
        </w:r>
      </w:hyperlink>
      <w:r>
        <w:t xml:space="preserve">.  </w:t>
      </w:r>
      <w:r>
        <w:t>Pass 3 EPA Clean Air Act phaseout and business guidance distinguish the production ban and exceptions.</w:t>
      </w:r>
    </w:p>
    <w:p>
      <w:pPr>
        <w:pStyle w:val="Heading2"/>
      </w:pPr>
      <w:r>
        <w:t>C-125  2001 Klamath Project irrigation curtailment</w:t>
      </w:r>
    </w:p>
    <w:p>
      <w:pPr>
        <w:keepNext/>
        <w:keepLines/>
      </w:pPr>
      <w:r>
        <w:rPr>
          <w:b/>
        </w:rPr>
        <w:t xml:space="preserve">Why this qualifies.  </w:t>
      </w:r>
      <w:r>
        <w:t>Federal fish-protection water operations curtailed 2001 irrigation deliveries, materially impairing the existing Klamath farming economy while serving a broader environmental goal.</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Bureau of Reclamation / federal ESA | 2001. Reclamation sharply curtailed 2001 irrigation deliveries to protect listed fish and meet legal water obligations, pursuing ecosystem protection while reducing established farming operations.</w:t>
      </w:r>
    </w:p>
    <w:p>
      <w:pPr>
        <w:keepLines/>
      </w:pPr>
      <w:r>
        <w:rPr>
          <w:b/>
        </w:rPr>
        <w:t xml:space="preserve">Worksite and group record.  </w:t>
      </w:r>
      <w:r>
        <w:t>Project farmers and agricultural workers faced lost crop opportunities; the Bureau's basin study expressly describes severe curtailment and economic impacts.</w:t>
      </w:r>
    </w:p>
    <w:p>
      <w:pPr>
        <w:keepLines/>
      </w:pPr>
      <w:r>
        <w:rPr>
          <w:b/>
        </w:rPr>
        <w:t xml:space="preserve">Causation and legal limits.  </w:t>
      </w:r>
      <w:r>
        <w:t>Drought, water rights and biological conditions also mattered. Allocate the material loss to the actual delivery decision and contract or district, not to drought alone.</w:t>
      </w:r>
    </w:p>
    <w:p>
      <w:pPr>
        <w:keepLines/>
      </w:pPr>
      <w:r>
        <w:rPr>
          <w:b/>
        </w:rPr>
        <w:t xml:space="preserve">Further event evidence.  </w:t>
      </w:r>
      <w:r>
        <w:t>Match 2001 delivery notices and farm acreage to planting, production, wages and other water sources.</w:t>
      </w:r>
    </w:p>
    <w:p>
      <w:pPr>
        <w:keepLines/>
        <w:spacing w:after="120"/>
      </w:pPr>
      <w:r>
        <w:rPr>
          <w:b/>
        </w:rPr>
        <w:t xml:space="preserve">Sources and citation check.  </w:t>
      </w:r>
      <w:hyperlink r:id="rId129">
        <w:r>
          <w:rPr>
            <w:color w:val="185B83"/>
            <w:u w:val="single"/>
          </w:rPr>
          <w:t>Klamath Project water operations and endangered-species duties (usbr.gov)</w:t>
        </w:r>
      </w:hyperlink>
      <w:r>
        <w:t xml:space="preserve">; </w:t>
      </w:r>
      <w:hyperlink r:id="rId130">
        <w:r>
          <w:rPr>
            <w:color w:val="185B83"/>
            <w:u w:val="single"/>
          </w:rPr>
          <w:t>Additional legal or source record (pubs.usgs.gov)</w:t>
        </w:r>
      </w:hyperlink>
      <w:r>
        <w:t xml:space="preserve">.  </w:t>
      </w:r>
      <w:r>
        <w:t>Pass 3 Reclamation basin study and USGS history corroborate 2001 restrictions and competing water causes.</w:t>
      </w:r>
    </w:p>
    <w:p>
      <w:pPr>
        <w:pStyle w:val="Heading2"/>
      </w:pPr>
      <w:r>
        <w:t>C-126  2004 repeal of tobacco marketing quotas</w:t>
      </w:r>
    </w:p>
    <w:p>
      <w:pPr>
        <w:keepNext/>
        <w:keepLines/>
      </w:pPr>
      <w:r>
        <w:rPr>
          <w:b/>
        </w:rPr>
        <w:t xml:space="preserve">Why this qualifies.  </w:t>
      </w:r>
      <w:r>
        <w:t>Congress removed tobacco quota rights for a freer market, materially changing existing quota holders' assets and producers' economics, while providing transition payments that must be credited.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USDA | 2004–2005. Congress ended the tobacco quota and price-support system after the 2004 crop year to move production into a freer market, eliminating an established quota asset and changing producer economics.</w:t>
      </w:r>
    </w:p>
    <w:p>
      <w:pPr>
        <w:keepLines/>
      </w:pPr>
      <w:r>
        <w:rPr>
          <w:b/>
        </w:rPr>
        <w:t xml:space="preserve">Worksite and group record.  </w:t>
      </w:r>
      <w:r>
        <w:t>Quota holders and tobacco producers lost the quota entitlement or faced changed production terms; Congress created a ten-year transition payment program for them.</w:t>
      </w:r>
    </w:p>
    <w:p>
      <w:pPr>
        <w:keepLines/>
      </w:pPr>
      <w:r>
        <w:rPr>
          <w:b/>
        </w:rPr>
        <w:t xml:space="preserve">Causation and legal limits.  </w:t>
      </w:r>
      <w:r>
        <w:t>The statutory buyout was substantial and must be counted against any further loss. It does not by itself prove every grower suffered a net material loss.</w:t>
      </w:r>
    </w:p>
    <w:p>
      <w:pPr>
        <w:keepLines/>
      </w:pPr>
      <w:r>
        <w:rPr>
          <w:b/>
        </w:rPr>
        <w:t xml:space="preserve">Further event evidence.  </w:t>
      </w:r>
      <w:r>
        <w:t>Compare quota ownership and production with USDA payment history and post-repeal farm outcomes; prevent double recovery.</w:t>
      </w:r>
    </w:p>
    <w:p>
      <w:pPr>
        <w:keepLines/>
        <w:spacing w:after="120"/>
      </w:pPr>
      <w:r>
        <w:rPr>
          <w:b/>
        </w:rPr>
        <w:t xml:space="preserve">Sources and citation check.  </w:t>
      </w:r>
      <w:hyperlink r:id="rId131">
        <w:r>
          <w:rPr>
            <w:color w:val="185B83"/>
            <w:u w:val="single"/>
          </w:rPr>
          <w:t>Fair and Equitable Tobacco Reform Act (fsa.usda.gov)</w:t>
        </w:r>
      </w:hyperlink>
      <w:r>
        <w:t xml:space="preserve">; </w:t>
      </w:r>
      <w:hyperlink r:id="rId132">
        <w:r>
          <w:rPr>
            <w:color w:val="185B83"/>
            <w:u w:val="single"/>
          </w:rPr>
          <w:t>Additional legal or source record (ers.usda.gov)</w:t>
        </w:r>
      </w:hyperlink>
      <w:r>
        <w:t xml:space="preserve">.  </w:t>
      </w:r>
      <w:r>
        <w:t>Pass 3 USDA FSA and ERS confirm the repeal, quota holder group and existing transition compensation.</w:t>
      </w:r>
    </w:p>
    <w:p>
      <w:pPr>
        <w:pStyle w:val="Heading2"/>
      </w:pPr>
      <w:r>
        <w:t>C-127  Fort Monmouth BRAC closure</w:t>
      </w:r>
    </w:p>
    <w:p>
      <w:pPr>
        <w:keepNext/>
        <w:keepLines/>
      </w:pPr>
      <w:r>
        <w:rPr>
          <w:b/>
        </w:rPr>
        <w:t xml:space="preserve">Why this qualifies.  </w:t>
      </w:r>
      <w:r>
        <w:t>The national defense BRAC decision closed a real base and affected thousands of civilian jobs, even where some workers could transfer rather than lose all employment.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decision; 2011 closure. The approved BRAC action closed Fort Monmouth and moved military functions to Aberdeen Proving Ground for national defense efficiency. The installation formally closed in September 2011.</w:t>
      </w:r>
    </w:p>
    <w:p>
      <w:pPr>
        <w:keepLines/>
      </w:pPr>
      <w:r>
        <w:rPr>
          <w:b/>
        </w:rPr>
        <w:t xml:space="preserve">Worksite and group record.  </w:t>
      </w:r>
      <w:r>
        <w:t>The Army identifies 4,653 civilian jobs affected and issued separation notices to employees declining a transfer; local contractor and support business effects require separate proof.</w:t>
      </w:r>
    </w:p>
    <w:p>
      <w:pPr>
        <w:keepLines/>
      </w:pPr>
      <w:r>
        <w:rPr>
          <w:b/>
        </w:rPr>
        <w:t xml:space="preserve">Causation and legal limits.  </w:t>
      </w:r>
      <w:r>
        <w:t>Some functions and employees relocated; a job counted as affected is not necessarily a layoff. Retirement, transfer, severance and replacement work should be assessed.</w:t>
      </w:r>
    </w:p>
    <w:p>
      <w:pPr>
        <w:keepLines/>
      </w:pPr>
      <w:r>
        <w:rPr>
          <w:b/>
        </w:rPr>
        <w:t xml:space="preserve">Further event evidence.  </w:t>
      </w:r>
      <w:r>
        <w:t>Use BRAC personnel notices, civilian payroll, transfer decisions and local contractor records to distinguish separations from relocations.</w:t>
      </w:r>
    </w:p>
    <w:p>
      <w:pPr>
        <w:keepLines/>
        <w:spacing w:after="120"/>
      </w:pPr>
      <w:r>
        <w:rPr>
          <w:b/>
        </w:rPr>
        <w:t xml:space="preserve">Sources and citation check.  </w:t>
      </w:r>
      <w:hyperlink r:id="rId133">
        <w:r>
          <w:rPr>
            <w:color w:val="185B83"/>
            <w:u w:val="single"/>
          </w:rPr>
          <w:t>2005 Base Realignment and Closure decision (nan.usace.army.mil)</w:t>
        </w:r>
      </w:hyperlink>
      <w:r>
        <w:t xml:space="preserve">; </w:t>
      </w:r>
      <w:hyperlink r:id="rId134">
        <w:r>
          <w:rPr>
            <w:color w:val="185B83"/>
            <w:u w:val="single"/>
          </w:rPr>
          <w:t>Additional legal or source record (army.mil)</w:t>
        </w:r>
      </w:hyperlink>
      <w:r>
        <w:t xml:space="preserve">.  </w:t>
      </w:r>
      <w:r>
        <w:t>Pass 3 Army worksite history and separation notice identify a real installation and affected civilian workforce.</w:t>
      </w:r>
    </w:p>
    <w:p>
      <w:pPr>
        <w:pStyle w:val="Heading2"/>
      </w:pPr>
      <w:r>
        <w:t>C-128  California phaseout of perc dry cleaning</w:t>
      </w:r>
    </w:p>
    <w:p>
      <w:pPr>
        <w:keepNext/>
        <w:keepLines/>
      </w:pPr>
      <w:r>
        <w:rPr>
          <w:b/>
        </w:rPr>
        <w:t xml:space="preserve">Why this qualifies.  </w:t>
      </w:r>
      <w:r>
        <w:t>California ended the established perc dry-cleaning method to protect health, forcing existing shops and their suppliers to buy replacement technology or stop that line.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Air Resources Board | 2007 rule; 2023 endpoint. California phased out perchloroethylene dry-cleaning equipment by January 2023 to reduce toxic exposures, forcing existing perc dry cleaners to replace machines or leave that method.</w:t>
      </w:r>
    </w:p>
    <w:p>
      <w:pPr>
        <w:keepLines/>
      </w:pPr>
      <w:r>
        <w:rPr>
          <w:b/>
        </w:rPr>
        <w:t xml:space="preserve">Worksite and group record.  </w:t>
      </w:r>
      <w:r>
        <w:t>Existing perc-based shops, equipment suppliers and machine operators faced capital expense or loss of a customary service process.</w:t>
      </w:r>
    </w:p>
    <w:p>
      <w:pPr>
        <w:keepLines/>
      </w:pPr>
      <w:r>
        <w:rPr>
          <w:b/>
        </w:rPr>
        <w:t xml:space="preserve">Causation and legal limits.  </w:t>
      </w:r>
      <w:r>
        <w:t>The rule permitted alternative cleaning methods and offered incentives, so shop closure or job loss cannot be presumed from the equipment prohibition alone.</w:t>
      </w:r>
    </w:p>
    <w:p>
      <w:pPr>
        <w:keepLines/>
      </w:pPr>
      <w:r>
        <w:rPr>
          <w:b/>
        </w:rPr>
        <w:t xml:space="preserve">Further event evidence.  </w:t>
      </w:r>
      <w:r>
        <w:t>Find machine inventory, compliance dates, conversion cost, incentive grants and worksite staffing before and after.</w:t>
      </w:r>
    </w:p>
    <w:p>
      <w:pPr>
        <w:keepLines/>
        <w:spacing w:after="120"/>
      </w:pPr>
      <w:r>
        <w:rPr>
          <w:b/>
        </w:rPr>
        <w:t xml:space="preserve">Sources and citation check.  </w:t>
      </w:r>
      <w:hyperlink r:id="rId135">
        <w:r>
          <w:rPr>
            <w:color w:val="185B83"/>
            <w:u w:val="single"/>
          </w:rPr>
          <w:t>Dry Cleaning Airborne Toxic Control Measure (ww2.arb.ca.gov)</w:t>
        </w:r>
      </w:hyperlink>
      <w:r>
        <w:t xml:space="preserve">; </w:t>
      </w:r>
      <w:hyperlink r:id="rId136">
        <w:r>
          <w:rPr>
            <w:color w:val="185B83"/>
            <w:u w:val="single"/>
          </w:rPr>
          <w:t>Additional legal or source record (ww2.arb.ca.gov)</w:t>
        </w:r>
      </w:hyperlink>
      <w:r>
        <w:t xml:space="preserve">.  </w:t>
      </w:r>
      <w:r>
        <w:t>Pass 3 CARB program and 2007 action establish 2023 endpoint and affected existing technology.</w:t>
      </w:r>
    </w:p>
    <w:p>
      <w:pPr>
        <w:pStyle w:val="Heading2"/>
      </w:pPr>
      <w:r>
        <w:t>C-129  California 2020 bar and indoor-operation shutdowns</w:t>
      </w:r>
    </w:p>
    <w:p>
      <w:pPr>
        <w:keepNext/>
        <w:keepLines/>
      </w:pPr>
      <w:r>
        <w:rPr>
          <w:b/>
        </w:rPr>
        <w:t xml:space="preserve">Why this qualifies.  </w:t>
      </w:r>
      <w:r>
        <w:t>California's public-health order stopped existing bars from operating during specified 2020 periods, materially affecting that smaller sector's sales and work.</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Department of Public Health | July 2020. California ordered bars to close indoor and outdoor operations and restricted indoor dining and other specified venues during the COVID-19 emergency to protect public health.</w:t>
      </w:r>
    </w:p>
    <w:p>
      <w:pPr>
        <w:keepLines/>
      </w:pPr>
      <w:r>
        <w:rPr>
          <w:b/>
        </w:rPr>
        <w:t xml:space="preserve">Worksite and group record.  </w:t>
      </w:r>
      <w:r>
        <w:t>Existing bar employees and operators lost lawful in-person service opportunities for the closure period; indoor venue and restaurant groups may have distinct effects.</w:t>
      </w:r>
    </w:p>
    <w:p>
      <w:pPr>
        <w:keepLines/>
      </w:pPr>
      <w:r>
        <w:rPr>
          <w:b/>
        </w:rPr>
        <w:t xml:space="preserve">Causation and legal limits.  </w:t>
      </w:r>
      <w:r>
        <w:t>The pandemic itself depressed demand. Tie an actual material loss to specified order dates, county status and allowable takeout or outdoor activity rather than treating all 2020 losses as caused by the order.</w:t>
      </w:r>
    </w:p>
    <w:p>
      <w:pPr>
        <w:keepLines/>
      </w:pPr>
      <w:r>
        <w:rPr>
          <w:b/>
        </w:rPr>
        <w:t xml:space="preserve">Further event evidence.  </w:t>
      </w:r>
      <w:r>
        <w:t>Compare order dates and county applicability with payroll, receipts, re-openings and pandemic demand effects.</w:t>
      </w:r>
    </w:p>
    <w:p>
      <w:pPr>
        <w:keepLines/>
        <w:spacing w:after="120"/>
      </w:pPr>
      <w:r>
        <w:rPr>
          <w:b/>
        </w:rPr>
        <w:t xml:space="preserve">Sources and citation check.  </w:t>
      </w:r>
      <w:hyperlink r:id="rId137">
        <w:r>
          <w:rPr>
            <w:color w:val="185B83"/>
            <w:u w:val="single"/>
          </w:rPr>
          <w:t>State public health orders and sector closure guidance (cdph.ca.gov)</w:t>
        </w:r>
      </w:hyperlink>
      <w:r>
        <w:t xml:space="preserve">; </w:t>
      </w:r>
      <w:hyperlink r:id="rId138">
        <w:r>
          <w:rPr>
            <w:color w:val="185B83"/>
            <w:u w:val="single"/>
          </w:rPr>
          <w:t>Additional legal or source record (cdph.ca.gov)</w:t>
        </w:r>
      </w:hyperlink>
      <w:r>
        <w:t xml:space="preserve">.  </w:t>
      </w:r>
      <w:r>
        <w:t>Pass 3 CDPH orders specify bars and indoor venues; competing pandemic demand is material to attribution.</w:t>
      </w:r>
    </w:p>
    <w:p>
      <w:pPr>
        <w:pStyle w:val="Heading2"/>
      </w:pPr>
      <w:r>
        <w:t>C-130  2022–23 Bering Sea snow crab closure</w:t>
      </w:r>
    </w:p>
    <w:p>
      <w:pPr>
        <w:keepNext/>
        <w:keepLines/>
      </w:pPr>
      <w:r>
        <w:rPr>
          <w:b/>
        </w:rPr>
        <w:t xml:space="preserve">Why this qualifies.  </w:t>
      </w:r>
      <w:r>
        <w:t>Alaska's conservation closure removed a commercial snow-crab season from an established fleet and processors, a direct material burden distinct from the stock collapse itself.</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with NOAA | 2022–2023 season. Alaska closed the 2022–23 Bering Sea snow crab season after stock surveys fell below the regulatory opening threshold, protecting future crab populations.</w:t>
      </w:r>
    </w:p>
    <w:p>
      <w:pPr>
        <w:keepLines/>
      </w:pPr>
      <w:r>
        <w:rPr>
          <w:b/>
        </w:rPr>
        <w:t xml:space="preserve">Worksite and group record.  </w:t>
      </w:r>
      <w:r>
        <w:t>The existing snow-crab fleet, crews, quota interests and processors lost the legal harvest and processing season; the agency expressly acknowledged substantial industry and community impacts.</w:t>
      </w:r>
    </w:p>
    <w:p>
      <w:pPr>
        <w:keepLines/>
      </w:pPr>
      <w:r>
        <w:rPr>
          <w:b/>
        </w:rPr>
        <w:t xml:space="preserve">Causation and legal limits.  </w:t>
      </w:r>
      <w:r>
        <w:t>Stock collapse caused much of the underlying scarcity; the government's closure removed otherwise lawful harvest opportunity. Fishery-disaster relief and subsequent seasons require separate accounting.</w:t>
      </w:r>
    </w:p>
    <w:p>
      <w:pPr>
        <w:keepLines/>
      </w:pPr>
      <w:r>
        <w:rPr>
          <w:b/>
        </w:rPr>
        <w:t xml:space="preserve">Further event evidence.  </w:t>
      </w:r>
      <w:r>
        <w:t>Match vessel permits, historical landings and crew or plant work to the 2022–23 closure and disaster payments.</w:t>
      </w:r>
    </w:p>
    <w:p>
      <w:pPr>
        <w:keepLines/>
        <w:spacing w:after="120"/>
      </w:pPr>
      <w:r>
        <w:rPr>
          <w:b/>
        </w:rPr>
        <w:t xml:space="preserve">Sources and citation check.  </w:t>
      </w:r>
      <w:hyperlink r:id="rId139">
        <w:r>
          <w:rPr>
            <w:color w:val="185B83"/>
            <w:u w:val="single"/>
          </w:rPr>
          <w:t>Commercial crab season closure (adfg.alaska.gov)</w:t>
        </w:r>
      </w:hyperlink>
      <w:r>
        <w:t xml:space="preserve">; </w:t>
      </w:r>
      <w:hyperlink r:id="rId140">
        <w:r>
          <w:rPr>
            <w:color w:val="185B83"/>
            <w:u w:val="single"/>
          </w:rPr>
          <w:t>Additional legal or source record (media.fisheries.noaa.gov)</w:t>
        </w:r>
      </w:hyperlink>
      <w:r>
        <w:t xml:space="preserve">.  </w:t>
      </w:r>
      <w:r>
        <w:t>Pass 3 ADF&amp;G and NOAA closure notices document action and express industry impact.</w:t>
      </w:r>
    </w:p>
    <w:p>
      <w:pPr>
        <w:pStyle w:val="Heading2"/>
      </w:pPr>
      <w:r>
        <w:t>C-131  2023 central and southern California Dungeness crab closure</w:t>
      </w:r>
    </w:p>
    <w:p>
      <w:pPr>
        <w:keepNext/>
        <w:keepLines/>
      </w:pPr>
      <w:r>
        <w:rPr>
          <w:b/>
        </w:rPr>
        <w:t xml:space="preserve">Why this qualifies.  </w:t>
      </w:r>
      <w:r>
        <w:t>California closed an established crab fishery in defined zones for the later 2023 season to protect whales, cutting lawful work for covered vessels and crews.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Department of Fish and Wildlife | April 2023. CDFW ended commercial Dungeness crab take in zones 3–6 after noon on April 15, 2023, to lower humpback-whale entanglement risk.</w:t>
      </w:r>
    </w:p>
    <w:p>
      <w:pPr>
        <w:keepLines/>
      </w:pPr>
      <w:r>
        <w:rPr>
          <w:b/>
        </w:rPr>
        <w:t xml:space="preserve">Worksite and group record.  </w:t>
      </w:r>
      <w:r>
        <w:t>Established crab vessels, crews, buyers and processors lost the later part of that season in the covered zones.</w:t>
      </w:r>
    </w:p>
    <w:p>
      <w:pPr>
        <w:keepLines/>
      </w:pPr>
      <w:r>
        <w:rPr>
          <w:b/>
        </w:rPr>
        <w:t xml:space="preserve">Causation and legal limits.  </w:t>
      </w:r>
      <w:r>
        <w:t>This was a seasonal, geographically limited restriction; earlier landings and other zones remain, so an entire year's income loss cannot be assumed.</w:t>
      </w:r>
    </w:p>
    <w:p>
      <w:pPr>
        <w:keepLines/>
      </w:pPr>
      <w:r>
        <w:rPr>
          <w:b/>
        </w:rPr>
        <w:t xml:space="preserve">Further event evidence.  </w:t>
      </w:r>
      <w:r>
        <w:t>Use zone permits, vessel landings, crew dates and processor purchases for the closed interval.</w:t>
      </w:r>
    </w:p>
    <w:p>
      <w:pPr>
        <w:keepLines/>
        <w:spacing w:after="120"/>
      </w:pPr>
      <w:r>
        <w:rPr>
          <w:b/>
        </w:rPr>
        <w:t xml:space="preserve">Sources and citation check.  </w:t>
      </w:r>
      <w:hyperlink r:id="rId141">
        <w:r>
          <w:rPr>
            <w:color w:val="185B83"/>
            <w:u w:val="single"/>
          </w:rPr>
          <w:t>Commercial Dungeness crab season closure (wildlife.ca.gov)</w:t>
        </w:r>
      </w:hyperlink>
      <w:r>
        <w:t xml:space="preserve">.  </w:t>
      </w:r>
      <w:r>
        <w:t>Pass 3 CDFW notice supplies exact date, zones and conservation rationale.</w:t>
      </w:r>
    </w:p>
    <w:p>
      <w:pPr>
        <w:pStyle w:val="Heading2"/>
      </w:pPr>
      <w:r>
        <w:t>C-132  Atlantic right-whale lobster and Jonah crab gear rule</w:t>
      </w:r>
    </w:p>
    <w:p>
      <w:pPr>
        <w:keepNext/>
        <w:keepLines/>
      </w:pPr>
      <w:r>
        <w:rPr>
          <w:b/>
        </w:rPr>
        <w:t xml:space="preserve">Why this qualifies.  </w:t>
      </w:r>
      <w:r>
        <w:t>NOAA's whale-protection rule imposed new gear costs and seasonal fishing limits on an established lobster and Jonah crab fleet.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NOAA Fisheries | 2021 rule; 2022 gear date. NOAA imposed new gear requirements and seasonally restricted areas on established lobster and Jonah crab trap fisheries to reduce right-whale entanglement.</w:t>
      </w:r>
    </w:p>
    <w:p>
      <w:pPr>
        <w:keepLines/>
      </w:pPr>
      <w:r>
        <w:rPr>
          <w:b/>
        </w:rPr>
        <w:t xml:space="preserve">Worksite and group record.  </w:t>
      </w:r>
      <w:r>
        <w:t>Affected trap fishers had to change gear and could not fish specified areas during restricted periods, imposing equipment cost and lost access to customary grounds.</w:t>
      </w:r>
    </w:p>
    <w:p>
      <w:pPr>
        <w:keepLines/>
      </w:pPr>
      <w:r>
        <w:rPr>
          <w:b/>
        </w:rPr>
        <w:t xml:space="preserve">Causation and legal limits.  </w:t>
      </w:r>
      <w:r>
        <w:t>The fishery continued outside covered times and places. A material livelihood effect for a particular fleet or harbor requires fishing and cost records.</w:t>
      </w:r>
    </w:p>
    <w:p>
      <w:pPr>
        <w:keepLines/>
      </w:pPr>
      <w:r>
        <w:rPr>
          <w:b/>
        </w:rPr>
        <w:t xml:space="preserve">Further event evidence.  </w:t>
      </w:r>
      <w:r>
        <w:t>Map each fisher's gear and historic grounds to effective dates, restricted areas and compliance spending.</w:t>
      </w:r>
    </w:p>
    <w:p>
      <w:pPr>
        <w:keepLines/>
        <w:spacing w:after="120"/>
      </w:pPr>
      <w:r>
        <w:rPr>
          <w:b/>
        </w:rPr>
        <w:t xml:space="preserve">Sources and citation check.  </w:t>
      </w:r>
      <w:hyperlink r:id="rId142">
        <w:r>
          <w:rPr>
            <w:color w:val="185B83"/>
            <w:u w:val="single"/>
          </w:rPr>
          <w:t>Atlantic Large Whale Take Reduction Plan amendment (fisheries.noaa.gov)</w:t>
        </w:r>
      </w:hyperlink>
      <w:r>
        <w:t xml:space="preserve">; </w:t>
      </w:r>
      <w:hyperlink r:id="rId143">
        <w:r>
          <w:rPr>
            <w:color w:val="185B83"/>
            <w:u w:val="single"/>
          </w:rPr>
          <w:t>Additional legal or source record (fisheries.noaa.gov)</w:t>
        </w:r>
      </w:hyperlink>
      <w:r>
        <w:t xml:space="preserve">.  </w:t>
      </w:r>
      <w:r>
        <w:t>Pass 3 NOAA final rule and implementation notice establish gear costs and area restrictions, not individual net losses.</w:t>
      </w:r>
    </w:p>
    <w:p>
      <w:pPr>
        <w:pStyle w:val="Heading2"/>
      </w:pPr>
      <w:r>
        <w:t>C-133  Federal plastic-microbead cosmetic ban</w:t>
      </w:r>
    </w:p>
    <w:p>
      <w:pPr>
        <w:keepNext/>
        <w:keepLines/>
      </w:pPr>
      <w:r>
        <w:rPr>
          <w:b/>
        </w:rPr>
        <w:t xml:space="preserve">Why this qualifies.  </w:t>
      </w:r>
      <w:r>
        <w:t>Congress eliminated the established plastic-microbead cosmetic product line to protect water quality, imposing a direct market and production change on its makers and suppliers.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FDA | 2017–2019. Congress barred manufacture and interstate distribution of rinse-off cosmetics and covered over-the-counter products containing plastic microbeads on staggered dates to protect waterways.</w:t>
      </w:r>
    </w:p>
    <w:p>
      <w:pPr>
        <w:keepLines/>
      </w:pPr>
      <w:r>
        <w:rPr>
          <w:b/>
        </w:rPr>
        <w:t xml:space="preserve">Worksite and group record.  </w:t>
      </w:r>
      <w:r>
        <w:t>Established makers and suppliers of the covered plastic microbead product line had to eliminate or reformulate that line, materially changing affected specialty operations.</w:t>
      </w:r>
    </w:p>
    <w:p>
      <w:pPr>
        <w:keepLines/>
      </w:pPr>
      <w:r>
        <w:rPr>
          <w:b/>
        </w:rPr>
        <w:t xml:space="preserve">Causation and legal limits.  </w:t>
      </w:r>
      <w:r>
        <w:t>Alternative abrasives remained lawful, and a change in a product formula is not automatically a lost job. Match the restricted line to actual manufacturing and sales.</w:t>
      </w:r>
    </w:p>
    <w:p>
      <w:pPr>
        <w:keepLines/>
      </w:pPr>
      <w:r>
        <w:rPr>
          <w:b/>
        </w:rPr>
        <w:t xml:space="preserve">Further event evidence.  </w:t>
      </w:r>
      <w:r>
        <w:t>Identify covered products, manufacturing sites, reformulation expenditures and market displacement on the correct 2017–2019 dates.</w:t>
      </w:r>
    </w:p>
    <w:p>
      <w:pPr>
        <w:keepLines/>
        <w:spacing w:after="120"/>
      </w:pPr>
      <w:r>
        <w:rPr>
          <w:b/>
        </w:rPr>
        <w:t xml:space="preserve">Sources and citation check.  </w:t>
      </w:r>
      <w:hyperlink r:id="rId144">
        <w:r>
          <w:rPr>
            <w:color w:val="185B83"/>
            <w:u w:val="single"/>
          </w:rPr>
          <w:t>Microbead-Free Waters Act of 2015 (fda.gov)</w:t>
        </w:r>
      </w:hyperlink>
      <w:r>
        <w:t xml:space="preserve">; </w:t>
      </w:r>
      <w:hyperlink r:id="rId145">
        <w:r>
          <w:rPr>
            <w:color w:val="185B83"/>
            <w:u w:val="single"/>
          </w:rPr>
          <w:t>Additional legal or source record (fda.gov)</w:t>
        </w:r>
      </w:hyperlink>
      <w:r>
        <w:t xml:space="preserve">.  </w:t>
      </w:r>
      <w:r>
        <w:t>Pass 4 FDA law guidance and dates confirm an effective product prohibition, with staggered cosmetic and OTC deadlines.</w:t>
      </w:r>
    </w:p>
    <w:p>
      <w:pPr>
        <w:pStyle w:val="Heading2"/>
      </w:pPr>
      <w:r>
        <w:t>C-134  California zero-emission standard for new small off-road engines</w:t>
      </w:r>
    </w:p>
    <w:p>
      <w:pPr>
        <w:keepNext/>
        <w:keepLines/>
      </w:pPr>
      <w:r>
        <w:rPr>
          <w:b/>
        </w:rPr>
        <w:t xml:space="preserve">Why this qualifies.  </w:t>
      </w:r>
      <w:r>
        <w:t>California's new-engine clean-air standard removed the covered gasoline-engine model market for established manufacturers unless they shifted technology.</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Air Resources Board | 2024 model year onward. California required most new small off-road engines in 2024 and later model years, including common lawn equipment, to meet zero-emission standards to reduce air pollution.</w:t>
      </w:r>
    </w:p>
    <w:p>
      <w:pPr>
        <w:keepLines/>
      </w:pPr>
      <w:r>
        <w:rPr>
          <w:b/>
        </w:rPr>
        <w:t xml:space="preserve">Worksite and group record.  </w:t>
      </w:r>
      <w:r>
        <w:t>Established makers of new gasoline-powered covered engine models faced a lost California market for that production line or the cost of switching technology.</w:t>
      </w:r>
    </w:p>
    <w:p>
      <w:pPr>
        <w:keepLines/>
      </w:pPr>
      <w:r>
        <w:rPr>
          <w:b/>
        </w:rPr>
        <w:t xml:space="preserve">Causation and legal limits.  </w:t>
      </w:r>
      <w:r>
        <w:t>The rule governs manufacturers and new model years; already certified stock and owners' continued use are not generally prohibited, and generator treatment differs.</w:t>
      </w:r>
    </w:p>
    <w:p>
      <w:pPr>
        <w:keepLines/>
      </w:pPr>
      <w:r>
        <w:rPr>
          <w:b/>
        </w:rPr>
        <w:t xml:space="preserve">Further event evidence.  </w:t>
      </w:r>
      <w:r>
        <w:t>Match model certifications and California sales to the covered model years and exceptions; measure supplier and worksite effects.</w:t>
      </w:r>
    </w:p>
    <w:p>
      <w:pPr>
        <w:keepLines/>
        <w:spacing w:after="120"/>
      </w:pPr>
      <w:r>
        <w:rPr>
          <w:b/>
        </w:rPr>
        <w:t xml:space="preserve">Sources and citation check.  </w:t>
      </w:r>
      <w:hyperlink r:id="rId146">
        <w:r>
          <w:rPr>
            <w:color w:val="185B83"/>
            <w:u w:val="single"/>
          </w:rPr>
          <w:t>CARB small off-road engine standards (ww2.arb.ca.gov)</w:t>
        </w:r>
      </w:hyperlink>
      <w:r>
        <w:t xml:space="preserve">; </w:t>
      </w:r>
      <w:hyperlink r:id="rId147">
        <w:r>
          <w:rPr>
            <w:color w:val="185B83"/>
            <w:u w:val="single"/>
          </w:rPr>
          <w:t>Additional legal or source record (ww2.arb.ca.gov)</w:t>
        </w:r>
      </w:hyperlink>
      <w:r>
        <w:t xml:space="preserve">.  </w:t>
      </w:r>
      <w:r>
        <w:t>Pass 4 CARB action and implementation guidance distinguish new manufacture from continued use or existing certified sales.</w:t>
      </w:r>
    </w:p>
    <w:p>
      <w:pPr>
        <w:pStyle w:val="Heading2"/>
      </w:pPr>
      <w:r>
        <w:t>C-135  California Proposition 12 animal-confinement and sales rules</w:t>
      </w:r>
    </w:p>
    <w:p>
      <w:pPr>
        <w:keepNext/>
        <w:keepLines/>
      </w:pPr>
      <w:r>
        <w:rPr>
          <w:b/>
        </w:rPr>
        <w:t xml:space="preserve">Why this qualifies.  </w:t>
      </w:r>
      <w:r>
        <w:t>California's animal-welfare rules forced existing farms serving its market to change facilities and certification or forgo covered sales, a material production burden on a smaller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2022–2024 implementation. California imposed minimum housing standards for covered hens, veal calves and breeding pigs and restricted sale of noncompliant eggs, veal and pork to improve animal welfare.</w:t>
      </w:r>
    </w:p>
    <w:p>
      <w:pPr>
        <w:keepLines/>
      </w:pPr>
      <w:r>
        <w:rPr>
          <w:b/>
        </w:rPr>
        <w:t xml:space="preserve">Worksite and group record.  </w:t>
      </w:r>
      <w:r>
        <w:t>Existing covered farms and supply chains serving California had to alter confinement facilities, obtain certification or lose access to a major lawful market.</w:t>
      </w:r>
    </w:p>
    <w:p>
      <w:pPr>
        <w:keepLines/>
      </w:pPr>
      <w:r>
        <w:rPr>
          <w:b/>
        </w:rPr>
        <w:t xml:space="preserve">Causation and legal limits.  </w:t>
      </w:r>
      <w:r>
        <w:t>The rule reaches some out-of-state producers selling into California; preexisting compliance and market substitutions vary. Facility investment and sales effects must be measured, and no loss is assumed for every farm.</w:t>
      </w:r>
    </w:p>
    <w:p>
      <w:pPr>
        <w:keepLines/>
      </w:pPr>
      <w:r>
        <w:rPr>
          <w:b/>
        </w:rPr>
        <w:t xml:space="preserve">Further event evidence.  </w:t>
      </w:r>
      <w:r>
        <w:t>Match existing farms and products to actual effective dates, certification, capital changes and California sales.</w:t>
      </w:r>
    </w:p>
    <w:p>
      <w:pPr>
        <w:keepLines/>
        <w:spacing w:after="120"/>
      </w:pPr>
      <w:r>
        <w:rPr>
          <w:b/>
        </w:rPr>
        <w:t xml:space="preserve">Sources and citation check.  </w:t>
      </w:r>
      <w:hyperlink r:id="rId148">
        <w:r>
          <w:rPr>
            <w:color w:val="185B83"/>
            <w:u w:val="single"/>
          </w:rPr>
          <w:t>Proposition 12 and implementing regulations (cdfa.ca.gov)</w:t>
        </w:r>
      </w:hyperlink>
      <w:r>
        <w:t xml:space="preserve">; </w:t>
      </w:r>
      <w:hyperlink r:id="rId149">
        <w:r>
          <w:rPr>
            <w:color w:val="185B83"/>
            <w:u w:val="single"/>
          </w:rPr>
          <w:t>Additional legal or source record (cdfa.ca.gov)</w:t>
        </w:r>
      </w:hyperlink>
      <w:r>
        <w:t xml:space="preserve">.  </w:t>
      </w:r>
      <w:r>
        <w:t>Pass 4 CDFA sales and producer guidance establishes operative standards and covered farms; specific material impact requires farm records.</w:t>
      </w:r>
    </w:p>
    <w:p>
      <w:pPr>
        <w:pStyle w:val="Heading2"/>
      </w:pPr>
      <w:r>
        <w:t>C-136  Kelly Air Force Base BRAC closure</w:t>
      </w:r>
    </w:p>
    <w:p>
      <w:pPr>
        <w:keepNext/>
        <w:keepLines/>
      </w:pPr>
      <w:r>
        <w:rPr>
          <w:b/>
        </w:rPr>
        <w:t xml:space="preserve">Why this qualifies.  </w:t>
      </w:r>
      <w:r>
        <w:t>The national defense BRAC decision closed a longstanding base, and GAO recorded a large aggregate loss of civilian jobs despite subsequent reuse of the site.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decision; 2001 closure. The defense reorganization closed Kelly Air Force Base in San Antonio in 2001 and changed its air-logistics operations for nationwide efficiency and military priorities.</w:t>
      </w:r>
    </w:p>
    <w:p>
      <w:pPr>
        <w:keepLines/>
      </w:pPr>
      <w:r>
        <w:rPr>
          <w:b/>
        </w:rPr>
        <w:t xml:space="preserve">Worksite and group record.  </w:t>
      </w:r>
      <w:r>
        <w:t>GAO's October 2001 community-impact table estimates 10,912 civilian jobs lost at Kelly and 4,444 jobs created in redevelopment; the figures are area estimates, not a roster of separated workers.</w:t>
      </w:r>
    </w:p>
    <w:p>
      <w:pPr>
        <w:keepLines/>
      </w:pPr>
      <w:r>
        <w:rPr>
          <w:b/>
        </w:rPr>
        <w:t xml:space="preserve">Causation and legal limits.  </w:t>
      </w:r>
      <w:r>
        <w:t>Some depot work was privatized or relocated and replacement jobs arose. Do not turn GAO's aggregate job estimates into individual causal awards.</w:t>
      </w:r>
    </w:p>
    <w:p>
      <w:pPr>
        <w:keepLines/>
      </w:pPr>
      <w:r>
        <w:rPr>
          <w:b/>
        </w:rPr>
        <w:t xml:space="preserve">Further event evidence.  </w:t>
      </w:r>
      <w:r>
        <w:t>Reconcile military and contractor payroll, transfer offers and redevelopment jobs for the affected worksite and occupations.</w:t>
      </w:r>
    </w:p>
    <w:p>
      <w:pPr>
        <w:keepLines/>
        <w:spacing w:after="120"/>
      </w:pPr>
      <w:r>
        <w:rPr>
          <w:b/>
        </w:rPr>
        <w:t xml:space="preserve">Sources and citation check.  </w:t>
      </w:r>
      <w:hyperlink r:id="rId150">
        <w:r>
          <w:rPr>
            <w:color w:val="185B83"/>
            <w:u w:val="single"/>
          </w:rPr>
          <w:t>1995 Base Realignment and Closure round (aetc.af.mil)</w:t>
        </w:r>
      </w:hyperlink>
      <w:r>
        <w:t xml:space="preserve">; </w:t>
      </w:r>
      <w:hyperlink r:id="rId12">
        <w:r>
          <w:rPr>
            <w:color w:val="185B83"/>
            <w:u w:val="single"/>
          </w:rPr>
          <w:t>Additional legal or source record (gao.gov)</w:t>
        </w:r>
      </w:hyperlink>
      <w:r>
        <w:t xml:space="preserve">.  </w:t>
      </w:r>
      <w:r>
        <w:t>Pass 4 Air Force closure date and GAO table establish the actual base and aggregate job impact.</w:t>
      </w:r>
    </w:p>
    <w:p>
      <w:pPr>
        <w:pStyle w:val="Heading2"/>
      </w:pPr>
      <w:r>
        <w:t>C-137  McClellan Air Force Base BRAC closure</w:t>
      </w:r>
    </w:p>
    <w:p>
      <w:pPr>
        <w:keepNext/>
        <w:keepLines/>
      </w:pPr>
      <w:r>
        <w:rPr>
          <w:b/>
        </w:rPr>
        <w:t xml:space="preserve">Why this qualifies.  </w:t>
      </w:r>
      <w:r>
        <w:t>The national defense BRAC decision closed an established air-logistics base and depot, materially affecting its workers and contractors even as reuse created other jobs.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decision; 2001 closure. The defense reorganization closed McClellan Air Force Base and its Sacramento Air Logistics Center in July 2001 for national military efficiency and reduced infrastructure costs.</w:t>
      </w:r>
    </w:p>
    <w:p>
      <w:pPr>
        <w:keepLines/>
      </w:pPr>
      <w:r>
        <w:rPr>
          <w:b/>
        </w:rPr>
        <w:t xml:space="preserve">Worksite and group record.  </w:t>
      </w:r>
      <w:r>
        <w:t>GAO's October 2001 table estimates 8,828 civilian jobs lost at McClellan and 6,124 new redevelopment jobs; original depot workers and nearby contractors were materially exposed.</w:t>
      </w:r>
    </w:p>
    <w:p>
      <w:pPr>
        <w:keepLines/>
      </w:pPr>
      <w:r>
        <w:rPr>
          <w:b/>
        </w:rPr>
        <w:t xml:space="preserve">Causation and legal limits.  </w:t>
      </w:r>
      <w:r>
        <w:t>Privatization in place, later jobs and retirements complicate attribution to the actual closure. Aggregate figures do not identify particular workers or net losses.</w:t>
      </w:r>
    </w:p>
    <w:p>
      <w:pPr>
        <w:keepLines/>
      </w:pPr>
      <w:r>
        <w:rPr>
          <w:b/>
        </w:rPr>
        <w:t xml:space="preserve">Further event evidence.  </w:t>
      </w:r>
      <w:r>
        <w:t>Trace depot and contractor payroll, personnel transitions and later site employment by job and date.</w:t>
      </w:r>
    </w:p>
    <w:p>
      <w:pPr>
        <w:keepLines/>
        <w:spacing w:after="120"/>
      </w:pPr>
      <w:r>
        <w:rPr>
          <w:b/>
        </w:rPr>
        <w:t xml:space="preserve">Sources and citation check.  </w:t>
      </w:r>
      <w:hyperlink r:id="rId151">
        <w:r>
          <w:rPr>
            <w:color w:val="185B83"/>
            <w:u w:val="single"/>
          </w:rPr>
          <w:t>1995 Base Realignment and Closure round (af.mil)</w:t>
        </w:r>
      </w:hyperlink>
      <w:r>
        <w:t xml:space="preserve">; </w:t>
      </w:r>
      <w:hyperlink r:id="rId12">
        <w:r>
          <w:rPr>
            <w:color w:val="185B83"/>
            <w:u w:val="single"/>
          </w:rPr>
          <w:t>Additional legal or source record (gao.gov)</w:t>
        </w:r>
      </w:hyperlink>
      <w:r>
        <w:t xml:space="preserve">.  </w:t>
      </w:r>
      <w:r>
        <w:t>Pass 4 Air Force closure history and GAO job-impact table independently document the worksite and affected workforce.</w:t>
      </w:r>
    </w:p>
    <w:p>
      <w:pPr>
        <w:pStyle w:val="Heading2"/>
      </w:pPr>
      <w:r>
        <w:t>C-138  BRAC action at Alameda Naval Air Station and Naval Aviation Depot, Calif.</w:t>
      </w:r>
    </w:p>
    <w:p>
      <w:pPr>
        <w:keepNext/>
        <w:keepLines/>
      </w:pPr>
      <w:r>
        <w:rPr>
          <w:b/>
        </w:rPr>
        <w:t xml:space="preserve">Why this qualifies.  </w:t>
      </w:r>
      <w:r>
        <w:t>The federal BRAC action at Alameda Naval Air Station and Naval Aviation Depot, Calif. advanced nationwide defense reorganization while GAO estimated 3,228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Alameda Naval Air Station and Naval Aviation Depot,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3,228 civilian jobs lost at Alameda Naval Air Station and Naval Aviation Depot, Calif. and 2,076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C-139  BRAC action at Army Materials Technology Lab (Watertown), Mass.</w:t>
      </w:r>
    </w:p>
    <w:p>
      <w:pPr>
        <w:keepNext/>
        <w:keepLines/>
      </w:pPr>
      <w:r>
        <w:rPr>
          <w:b/>
        </w:rPr>
        <w:t xml:space="preserve">Why this qualifies.  </w:t>
      </w:r>
      <w:r>
        <w:t>The federal BRAC action at Army Materials Technology Lab (Watertown), Mass. advanced nationwide defense reorganization while GAO estimated 540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Army Materials Technology Lab (Watertown), Mass. in one of the four 1988–1995 BRAC rounds to reorganize military infrastructure for national defense efficiency. GAO lists the site among major affected locations.</w:t>
      </w:r>
    </w:p>
    <w:p>
      <w:pPr>
        <w:keepLines/>
      </w:pPr>
      <w:r>
        <w:rPr>
          <w:b/>
        </w:rPr>
        <w:t xml:space="preserve">Worksite and group record.  </w:t>
      </w:r>
      <w:r>
        <w:t>GAO estimates 540 civilian jobs lost at Army Materials Technology Lab (Watertown), Mass. and 1,061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C-140  BRAC action at Barbers Point Naval Air Station, Hawaii</w:t>
      </w:r>
    </w:p>
    <w:p>
      <w:pPr>
        <w:keepNext/>
        <w:keepLines/>
      </w:pPr>
      <w:r>
        <w:rPr>
          <w:b/>
        </w:rPr>
        <w:t xml:space="preserve">Why this qualifies.  </w:t>
      </w:r>
      <w:r>
        <w:t>The federal BRAC action at Barbers Point Naval Air Station, Hawaii advanced nationwide defense reorganization while GAO estimated 618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Barbers Point Naval Air Station, Hawaii in one of the four 1988–1995 BRAC rounds to reorganize military infrastructure for national defense efficiency. GAO lists the site among major affected locations.</w:t>
      </w:r>
    </w:p>
    <w:p>
      <w:pPr>
        <w:keepLines/>
      </w:pPr>
      <w:r>
        <w:rPr>
          <w:b/>
        </w:rPr>
        <w:t xml:space="preserve">Worksite and group record.  </w:t>
      </w:r>
      <w:r>
        <w:t>GAO estimates 618 civilian jobs lost at Barbers Point Naval Air Station, Hawaii and 28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C-141  BRAC action at Bayonne Military Ocean Terminal, N.J.</w:t>
      </w:r>
    </w:p>
    <w:p>
      <w:pPr>
        <w:keepNext/>
        <w:keepLines/>
      </w:pPr>
      <w:r>
        <w:rPr>
          <w:b/>
        </w:rPr>
        <w:t xml:space="preserve">Why this qualifies.  </w:t>
      </w:r>
      <w:r>
        <w:t>The federal BRAC action at Bayonne Military Ocean Terminal, N.J. advanced nationwide defense reorganization while GAO estimated 2,015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Bayonne Military Ocean Terminal, N.J.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2,015 civilian jobs lost at Bayonne Military Ocean Terminal, N.J. and 252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C-142  BRAC action at Bergstrom Air Force Base, Tex.</w:t>
      </w:r>
    </w:p>
    <w:p>
      <w:pPr>
        <w:keepNext/>
        <w:keepLines/>
      </w:pPr>
      <w:r>
        <w:rPr>
          <w:b/>
        </w:rPr>
        <w:t xml:space="preserve">Why this qualifies.  </w:t>
      </w:r>
      <w:r>
        <w:t>The federal BRAC action at Bergstrom Air Force Base, Tex. advanced nationwide defense reorganization while GAO estimated 927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Bergstrom Air Force Base, Tex. in one of the four 1988–1995 BRAC rounds to reorganize military infrastructure for national defense efficiency. GAO lists the site among major affected locations.</w:t>
      </w:r>
    </w:p>
    <w:p>
      <w:pPr>
        <w:keepLines/>
      </w:pPr>
      <w:r>
        <w:rPr>
          <w:b/>
        </w:rPr>
        <w:t xml:space="preserve">Worksite and group record.  </w:t>
      </w:r>
      <w:r>
        <w:t>GAO estimates 927 civilian jobs lost at Bergstrom Air Force Base, Tex. and 1,984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C-143  BRAC action at Carswell Air Force Base, Tex.</w:t>
      </w:r>
    </w:p>
    <w:p>
      <w:pPr>
        <w:keepNext/>
        <w:keepLines/>
      </w:pPr>
      <w:r>
        <w:rPr>
          <w:b/>
        </w:rPr>
        <w:t xml:space="preserve">Why this qualifies.  </w:t>
      </w:r>
      <w:r>
        <w:t>The federal BRAC action at Carswell Air Force Base, Tex. advanced nationwide defense reorganization while GAO estimated 869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Carswell Air Force Base, Tex. in one of the four 1988–1995 BRAC rounds to reorganize military infrastructure for national defense efficiency. GAO lists the site among major affected locations.</w:t>
      </w:r>
    </w:p>
    <w:p>
      <w:pPr>
        <w:keepLines/>
      </w:pPr>
      <w:r>
        <w:rPr>
          <w:b/>
        </w:rPr>
        <w:t xml:space="preserve">Worksite and group record.  </w:t>
      </w:r>
      <w:r>
        <w:t>GAO estimates 869 civilian jobs lost at Carswell Air Force Base, Tex. and 541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C-144  BRAC action at Castle Air Force Base, Calif.</w:t>
      </w:r>
    </w:p>
    <w:p>
      <w:pPr>
        <w:keepNext/>
        <w:keepLines/>
      </w:pPr>
      <w:r>
        <w:rPr>
          <w:b/>
        </w:rPr>
        <w:t xml:space="preserve">Why this qualifies.  </w:t>
      </w:r>
      <w:r>
        <w:t>The federal BRAC action at Castle Air Force Base, Calif. advanced nationwide defense reorganization while GAO estimated 1,149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Castle Air Force Base,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1,149 civilian jobs lost at Castle Air Force Base, Calif. and 2,447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C-145  BRAC action at Cecil Field Naval Air Station, Fla.</w:t>
      </w:r>
    </w:p>
    <w:p>
      <w:pPr>
        <w:keepNext/>
        <w:keepLines/>
      </w:pPr>
      <w:r>
        <w:rPr>
          <w:b/>
        </w:rPr>
        <w:t xml:space="preserve">Why this qualifies.  </w:t>
      </w:r>
      <w:r>
        <w:t>The federal BRAC action at Cecil Field Naval Air Station, Fla. advanced nationwide defense reorganization while GAO estimated 995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Cecil Field Naval Air Station, Fla.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995 civilian jobs lost at Cecil Field Naval Air Station, Fla. and 596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C-146  BRAC action at Chanute Air Force Base, Ill.</w:t>
      </w:r>
    </w:p>
    <w:p>
      <w:pPr>
        <w:keepNext/>
        <w:keepLines/>
      </w:pPr>
      <w:r>
        <w:rPr>
          <w:b/>
        </w:rPr>
        <w:t xml:space="preserve">Why this qualifies.  </w:t>
      </w:r>
      <w:r>
        <w:t>The federal BRAC action at Chanute Air Force Base, Ill. advanced nationwide defense reorganization while GAO estimated 1,035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Chanute Air Force Base, Ill.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1,035 civilian jobs lost at Chanute Air Force Base, Ill. and 1,723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C-147  BRAC action at Charleston Naval Complex, S.C.</w:t>
      </w:r>
    </w:p>
    <w:p>
      <w:pPr>
        <w:keepNext/>
        <w:keepLines/>
      </w:pPr>
      <w:r>
        <w:rPr>
          <w:b/>
        </w:rPr>
        <w:t xml:space="preserve">Why this qualifies.  </w:t>
      </w:r>
      <w:r>
        <w:t>The federal BRAC action at Charleston Naval Complex, S.C. advanced nationwide defense reorganization while GAO estimated 6,272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Charleston Naval Complex, S.C. in one of the four 1988–1995 BRAC rounds to reorganize military infrastructure for national defense efficiency. GAO lists the site among major affected locations.</w:t>
      </w:r>
    </w:p>
    <w:p>
      <w:pPr>
        <w:keepLines/>
      </w:pPr>
      <w:r>
        <w:rPr>
          <w:b/>
        </w:rPr>
        <w:t xml:space="preserve">Worksite and group record.  </w:t>
      </w:r>
      <w:r>
        <w:t>GAO estimates 6,272 civilian jobs lost at Charleston Naval Complex, S.C. and 3,339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C-148  BRAC action at Chase Field Naval Air Station, Tex.</w:t>
      </w:r>
    </w:p>
    <w:p>
      <w:pPr>
        <w:keepNext/>
        <w:keepLines/>
      </w:pPr>
      <w:r>
        <w:rPr>
          <w:b/>
        </w:rPr>
        <w:t xml:space="preserve">Why this qualifies.  </w:t>
      </w:r>
      <w:r>
        <w:t>The federal BRAC action at Chase Field Naval Air Station, Tex. advanced nationwide defense reorganization while GAO estimated 956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Chase Field Naval Air Station, Tex. in one of the four 1988–1995 BRAC rounds to reorganize military infrastructure for national defense efficiency. GAO lists the site among major affected locations.</w:t>
      </w:r>
    </w:p>
    <w:p>
      <w:pPr>
        <w:keepLines/>
      </w:pPr>
      <w:r>
        <w:rPr>
          <w:b/>
        </w:rPr>
        <w:t xml:space="preserve">Worksite and group record.  </w:t>
      </w:r>
      <w:r>
        <w:t>GAO estimates 956 civilian jobs lost at Chase Field Naval Air Station, Tex. and 1,153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C-149  BRAC action at Eaker Air Force Base, Ark.</w:t>
      </w:r>
    </w:p>
    <w:p>
      <w:pPr>
        <w:keepNext/>
        <w:keepLines/>
      </w:pPr>
      <w:r>
        <w:rPr>
          <w:b/>
        </w:rPr>
        <w:t xml:space="preserve">Why this qualifies.  </w:t>
      </w:r>
      <w:r>
        <w:t>The federal BRAC action at Eaker Air Force Base, Ark. advanced nationwide defense reorganization while GAO estimated 777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Eaker Air Force Base, Ark. in one of the four 1988–1995 BRAC rounds to reorganize military infrastructure for national defense efficiency. GAO lists the site among major affected locations.</w:t>
      </w:r>
    </w:p>
    <w:p>
      <w:pPr>
        <w:keepLines/>
      </w:pPr>
      <w:r>
        <w:rPr>
          <w:b/>
        </w:rPr>
        <w:t xml:space="preserve">Worksite and group record.  </w:t>
      </w:r>
      <w:r>
        <w:t>GAO estimates 777 civilian jobs lost at Eaker Air Force Base, Ark. and 991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C-150  BRAC action at El Toro Marine Corps Air Station, Calif.</w:t>
      </w:r>
    </w:p>
    <w:p>
      <w:pPr>
        <w:keepNext/>
        <w:keepLines/>
      </w:pPr>
      <w:r>
        <w:rPr>
          <w:b/>
        </w:rPr>
        <w:t xml:space="preserve">Why this qualifies.  </w:t>
      </w:r>
      <w:r>
        <w:t>The federal BRAC action at El Toro Marine Corps Air Station, Calif. advanced nationwide defense reorganization while GAO estimated 979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El Toro Marine Corps Air Station,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979 civilian jobs lost at El Toro Marine Corps Air Station, Calif. and 252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C-151  BRAC action at England Air Force Base, La.</w:t>
      </w:r>
    </w:p>
    <w:p>
      <w:pPr>
        <w:keepNext/>
        <w:keepLines/>
      </w:pPr>
      <w:r>
        <w:rPr>
          <w:b/>
        </w:rPr>
        <w:t xml:space="preserve">Why this qualifies.  </w:t>
      </w:r>
      <w:r>
        <w:t>The federal BRAC action at England Air Force Base, La. advanced nationwide defense reorganization while GAO estimated 682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England Air Force Base, La.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682 civilian jobs lost at England Air Force Base, La. and 1,834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C-152  BRAC action at Fitzsimons Army Medical Center, Colo.</w:t>
      </w:r>
    </w:p>
    <w:p>
      <w:pPr>
        <w:keepNext/>
        <w:keepLines/>
      </w:pPr>
      <w:r>
        <w:rPr>
          <w:b/>
        </w:rPr>
        <w:t xml:space="preserve">Why this qualifies.  </w:t>
      </w:r>
      <w:r>
        <w:t>The federal BRAC action at Fitzsimons Army Medical Center, Colo. advanced nationwide defense reorganization while GAO estimated 1,612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Fitzsimons Army Medical Center, Colo.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1,612 civilian jobs lost at Fitzsimons Army Medical Center, Colo. and 2,169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C-153  BRAC action at Ft. Benjamin Harrison, Ind.</w:t>
      </w:r>
    </w:p>
    <w:p>
      <w:pPr>
        <w:keepNext/>
        <w:keepLines/>
      </w:pPr>
      <w:r>
        <w:rPr>
          <w:b/>
        </w:rPr>
        <w:t xml:space="preserve">Why this qualifies.  </w:t>
      </w:r>
      <w:r>
        <w:t>The federal BRAC action at Ft. Benjamin Harrison, Ind. advanced nationwide defense reorganization while GAO estimated 1,050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Ft. Benjamin Harrison, Ind.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1,050 civilian jobs lost at Ft. Benjamin Harrison, Ind. and 815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C-154  BRAC action at Ft. Devens, Mass.</w:t>
      </w:r>
    </w:p>
    <w:p>
      <w:pPr>
        <w:keepNext/>
        <w:keepLines/>
      </w:pPr>
      <w:r>
        <w:rPr>
          <w:b/>
        </w:rPr>
        <w:t xml:space="preserve">Why this qualifies.  </w:t>
      </w:r>
      <w:r>
        <w:t>The federal BRAC action at Ft. Devens, Mass. advanced nationwide defense reorganization while GAO estimated 2,178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Ft. Devens, Mass.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2,178 civilian jobs lost at Ft. Devens, Mass. and 2,288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C-155  BRAC action at Ft. McClellan, Ala.</w:t>
      </w:r>
    </w:p>
    <w:p>
      <w:pPr>
        <w:keepNext/>
        <w:keepLines/>
      </w:pPr>
      <w:r>
        <w:rPr>
          <w:b/>
        </w:rPr>
        <w:t xml:space="preserve">Why this qualifies.  </w:t>
      </w:r>
      <w:r>
        <w:t>The federal BRAC action at Ft. McClellan, Ala. advanced nationwide defense reorganization while GAO estimated 2,156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Ft. McClellan, Ala.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2,156 civilian jobs lost at Ft. McClellan, Ala. and 559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C-156  BRAC action at Ft. Ord, Calif.</w:t>
      </w:r>
    </w:p>
    <w:p>
      <w:pPr>
        <w:keepNext/>
        <w:keepLines/>
      </w:pPr>
      <w:r>
        <w:rPr>
          <w:b/>
        </w:rPr>
        <w:t xml:space="preserve">Why this qualifies.  </w:t>
      </w:r>
      <w:r>
        <w:t>The federal BRAC action at Ft. Ord, Calif. advanced nationwide defense reorganization while GAO estimated 2,835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Ft. Ord,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2,835 civilian jobs lost at Ft. Ord, Calif. and 1,135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C-157  BRAC action at Ft. Pickett, Va.</w:t>
      </w:r>
    </w:p>
    <w:p>
      <w:pPr>
        <w:keepNext/>
        <w:keepLines/>
      </w:pPr>
      <w:r>
        <w:rPr>
          <w:b/>
        </w:rPr>
        <w:t xml:space="preserve">Why this qualifies.  </w:t>
      </w:r>
      <w:r>
        <w:t>The federal BRAC action at Ft. Pickett, Va. advanced nationwide defense reorganization while GAO estimated 245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Ft. Pickett, Va.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245 civilian jobs lost at Ft. Pickett, Va. and 182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C-158  BRAC action at Ft. Ritchie, Md.</w:t>
      </w:r>
    </w:p>
    <w:p>
      <w:pPr>
        <w:keepNext/>
        <w:keepLines/>
      </w:pPr>
      <w:r>
        <w:rPr>
          <w:b/>
        </w:rPr>
        <w:t xml:space="preserve">Why this qualifies.  </w:t>
      </w:r>
      <w:r>
        <w:t>The federal BRAC action at Ft. Ritchie, Md. advanced nationwide defense reorganization while GAO estimated 1,373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Ft. Ritchie, Md.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1,373 civilian jobs lost at Ft. Ritchie, Md. and 108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C-159  BRAC action at Ft. Sheridan, Ill.</w:t>
      </w:r>
    </w:p>
    <w:p>
      <w:pPr>
        <w:keepNext/>
        <w:keepLines/>
      </w:pPr>
      <w:r>
        <w:rPr>
          <w:b/>
        </w:rPr>
        <w:t xml:space="preserve">Why this qualifies.  </w:t>
      </w:r>
      <w:r>
        <w:t>The federal BRAC action at Ft. Sheridan, Ill. advanced nationwide defense reorganization while GAO estimated 1,681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Ft. Sheridan, Ill.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1,681 civilian jobs lost at Ft. Sheridan, Ill. and 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C-160  BRAC action at Gentile Air Force Station, Ohio</w:t>
      </w:r>
    </w:p>
    <w:p>
      <w:pPr>
        <w:keepNext/>
        <w:keepLines/>
      </w:pPr>
      <w:r>
        <w:rPr>
          <w:b/>
        </w:rPr>
        <w:t xml:space="preserve">Why this qualifies.  </w:t>
      </w:r>
      <w:r>
        <w:t>The federal BRAC action at Gentile Air Force Station, Ohio advanced nationwide defense reorganization while GAO estimated 2,804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Gentile Air Force Station, Ohio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2,804 civilian jobs lost at Gentile Air Force Station, Ohio and 1,828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C-161  BRAC action at George Air Force Base, Calif.</w:t>
      </w:r>
    </w:p>
    <w:p>
      <w:pPr>
        <w:keepNext/>
        <w:keepLines/>
      </w:pPr>
      <w:r>
        <w:rPr>
          <w:b/>
        </w:rPr>
        <w:t xml:space="preserve">Why this qualifies.  </w:t>
      </w:r>
      <w:r>
        <w:t>The federal BRAC action at George Air Force Base, Calif. advanced nationwide defense reorganization while GAO estimated 506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George Air Force Base,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506 civilian jobs lost at George Air Force Base, Calif. and 1,085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C-162  BRAC action at Glenview Naval Air Station, Ill.</w:t>
      </w:r>
    </w:p>
    <w:p>
      <w:pPr>
        <w:keepNext/>
        <w:keepLines/>
      </w:pPr>
      <w:r>
        <w:rPr>
          <w:b/>
        </w:rPr>
        <w:t xml:space="preserve">Why this qualifies.  </w:t>
      </w:r>
      <w:r>
        <w:t>The federal BRAC action at Glenview Naval Air Station, Ill. advanced nationwide defense reorganization while GAO estimated 389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Glenview Naval Air Station, Ill.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389 civilian jobs lost at Glenview Naval Air Station, Ill. and 3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C-163  BRAC action at Griffiss Air Force Base, N.Y.</w:t>
      </w:r>
    </w:p>
    <w:p>
      <w:pPr>
        <w:keepNext/>
        <w:keepLines/>
      </w:pPr>
      <w:r>
        <w:rPr>
          <w:b/>
        </w:rPr>
        <w:t xml:space="preserve">Why this qualifies.  </w:t>
      </w:r>
      <w:r>
        <w:t>The federal BRAC action at Griffiss Air Force Base, N.Y. advanced nationwide defense reorganization while GAO estimated 1,341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Griffiss Air Force Base, N.Y.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1,341 civilian jobs lost at Griffiss Air Force Base, N.Y. and 1,874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C-164  BRAC action at Grissom Air Force Base, Ind.</w:t>
      </w:r>
    </w:p>
    <w:p>
      <w:pPr>
        <w:keepNext/>
        <w:keepLines/>
      </w:pPr>
      <w:r>
        <w:rPr>
          <w:b/>
        </w:rPr>
        <w:t xml:space="preserve">Why this qualifies.  </w:t>
      </w:r>
      <w:r>
        <w:t>The federal BRAC action at Grissom Air Force Base, Ind. advanced nationwide defense reorganization while GAO estimated 792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Grissom Air Force Base, Ind. in one of the four 1988–1995 BRAC rounds to reorganize military infrastructure for national defense efficiency. GAO lists the site among major affected locations.</w:t>
      </w:r>
    </w:p>
    <w:p>
      <w:pPr>
        <w:keepLines/>
      </w:pPr>
      <w:r>
        <w:rPr>
          <w:b/>
        </w:rPr>
        <w:t xml:space="preserve">Worksite and group record.  </w:t>
      </w:r>
      <w:r>
        <w:t>GAO estimates 792 civilian jobs lost at Grissom Air Force Base, Ind. and 735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C-165  BRAC action at Guam Naval Complex, Guam</w:t>
      </w:r>
    </w:p>
    <w:p>
      <w:pPr>
        <w:keepNext/>
        <w:keepLines/>
      </w:pPr>
      <w:r>
        <w:rPr>
          <w:b/>
        </w:rPr>
        <w:t xml:space="preserve">Why this qualifies.  </w:t>
      </w:r>
      <w:r>
        <w:t>The federal BRAC action at Guam Naval Complex, Guam advanced nationwide defense reorganization while GAO estimated 2,193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Guam Naval Complex, Guam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2,193 civilian jobs lost at Guam Naval Complex, Guam and 549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C-166  BRAC action at Homestead Air Force Base, Fla.</w:t>
      </w:r>
    </w:p>
    <w:p>
      <w:pPr>
        <w:keepNext/>
        <w:keepLines/>
      </w:pPr>
      <w:r>
        <w:rPr>
          <w:b/>
        </w:rPr>
        <w:t xml:space="preserve">Why this qualifies.  </w:t>
      </w:r>
      <w:r>
        <w:t>The federal BRAC action at Homestead Air Force Base, Fla. advanced nationwide defense reorganization while GAO estimated 136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Homestead Air Force Base, Fla.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136 civilian jobs lost at Homestead Air Force Base, Fla. and 622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C-167  BRAC action at Hunters Point Annex Naval Shipyard, Calif.</w:t>
      </w:r>
    </w:p>
    <w:p>
      <w:pPr>
        <w:keepNext/>
        <w:keepLines/>
      </w:pPr>
      <w:r>
        <w:rPr>
          <w:b/>
        </w:rPr>
        <w:t xml:space="preserve">Why this qualifies.  </w:t>
      </w:r>
      <w:r>
        <w:t>The federal BRAC action at Hunters Point Annex Naval Shipyard, Calif. advanced nationwide defense reorganization while GAO estimated 93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Hunters Point Annex Naval Shipyard,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93 civilian jobs lost at Hunters Point Annex Naval Shipyard, Calif. and 425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C-168  BRAC action at Indianapolis Naval Air Warfare Center, Ind.</w:t>
      </w:r>
    </w:p>
    <w:p>
      <w:pPr>
        <w:keepNext/>
        <w:keepLines/>
      </w:pPr>
      <w:r>
        <w:rPr>
          <w:b/>
        </w:rPr>
        <w:t xml:space="preserve">Why this qualifies.  </w:t>
      </w:r>
      <w:r>
        <w:t>The federal BRAC action at Indianapolis Naval Air Warfare Center, Ind. advanced nationwide defense reorganization while GAO estimated 2,196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Indianapolis Naval Air Warfare Center, Ind.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2,196 civilian jobs lost at Indianapolis Naval Air Warfare Center, Ind. and 1,574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C-169  BRAC action at Jefferson Proving Ground, Ind.</w:t>
      </w:r>
    </w:p>
    <w:p>
      <w:pPr>
        <w:keepNext/>
        <w:keepLines/>
      </w:pPr>
      <w:r>
        <w:rPr>
          <w:b/>
        </w:rPr>
        <w:t xml:space="preserve">Why this qualifies.  </w:t>
      </w:r>
      <w:r>
        <w:t>The federal BRAC action at Jefferson Proving Ground, Ind. advanced nationwide defense reorganization while GAO estimated 387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Jefferson Proving Ground, Ind.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387 civilian jobs lost at Jefferson Proving Ground, Ind. and 122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C-170  BRAC action at K.I. Sawyer Air Force Base, Mich.</w:t>
      </w:r>
    </w:p>
    <w:p>
      <w:pPr>
        <w:keepNext/>
        <w:keepLines/>
      </w:pPr>
      <w:r>
        <w:rPr>
          <w:b/>
        </w:rPr>
        <w:t xml:space="preserve">Why this qualifies.  </w:t>
      </w:r>
      <w:r>
        <w:t>The federal BRAC action at K.I. Sawyer Air Force Base, Mich. advanced nationwide defense reorganization while GAO estimated 788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K.I. Sawyer Air Force Base, Mich. in one of the four 1988–1995 BRAC rounds to reorganize military infrastructure for national defense efficiency. GAO lists the site among major affected locations.</w:t>
      </w:r>
    </w:p>
    <w:p>
      <w:pPr>
        <w:keepLines/>
      </w:pPr>
      <w:r>
        <w:rPr>
          <w:b/>
        </w:rPr>
        <w:t xml:space="preserve">Worksite and group record.  </w:t>
      </w:r>
      <w:r>
        <w:t>GAO estimates 788 civilian jobs lost at K.I. Sawyer Air Force Base, Mich. and 1,045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C-171  BRAC action at Letterkenny Army Depot, Pa.</w:t>
      </w:r>
    </w:p>
    <w:p>
      <w:pPr>
        <w:keepNext/>
        <w:keepLines/>
      </w:pPr>
      <w:r>
        <w:rPr>
          <w:b/>
        </w:rPr>
        <w:t xml:space="preserve">Why this qualifies.  </w:t>
      </w:r>
      <w:r>
        <w:t>The federal BRAC action at Letterkenny Army Depot, Pa. advanced nationwide defense reorganization while GAO estimated 2,512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Letterkenny Army Depot, Pa.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2,512 civilian jobs lost at Letterkenny Army Depot, Pa. and 578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C-172  BRAC action at Lexington Army Depot, Ky.</w:t>
      </w:r>
    </w:p>
    <w:p>
      <w:pPr>
        <w:keepNext/>
        <w:keepLines/>
      </w:pPr>
      <w:r>
        <w:rPr>
          <w:b/>
        </w:rPr>
        <w:t xml:space="preserve">Why this qualifies.  </w:t>
      </w:r>
      <w:r>
        <w:t>The federal BRAC action at Lexington Army Depot, Ky. advanced nationwide defense reorganization while GAO estimated 1,131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Lexington Army Depot, Ky.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1,131 civilian jobs lost at Lexington Army Depot, Ky. and 838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C-173  BRAC action at Long Beach Naval Complex, Calif.</w:t>
      </w:r>
    </w:p>
    <w:p>
      <w:pPr>
        <w:keepNext/>
        <w:keepLines/>
      </w:pPr>
      <w:r>
        <w:rPr>
          <w:b/>
        </w:rPr>
        <w:t xml:space="preserve">Why this qualifies.  </w:t>
      </w:r>
      <w:r>
        <w:t>The federal BRAC action at Long Beach Naval Complex, Calif. advanced nationwide defense reorganization while GAO estimated 4,487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Long Beach Naval Complex,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4,487 civilian jobs lost at Long Beach Naval Complex, Calif. and 200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C-174  BRAC action at Loring Air Force Base, Maine</w:t>
      </w:r>
    </w:p>
    <w:p>
      <w:pPr>
        <w:keepNext/>
        <w:keepLines/>
      </w:pPr>
      <w:r>
        <w:rPr>
          <w:b/>
        </w:rPr>
        <w:t xml:space="preserve">Why this qualifies.  </w:t>
      </w:r>
      <w:r>
        <w:t>The federal BRAC action at Loring Air Force Base, Maine advanced nationwide defense reorganization while GAO estimated 1,311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Loring Air Force Base, Maine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1,311 civilian jobs lost at Loring Air Force Base, Maine and 1,010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C-175  BRAC action at Louisville Naval Surface Warfare Station, Ky.</w:t>
      </w:r>
    </w:p>
    <w:p>
      <w:pPr>
        <w:keepNext/>
        <w:keepLines/>
      </w:pPr>
      <w:r>
        <w:rPr>
          <w:b/>
        </w:rPr>
        <w:t xml:space="preserve">Why this qualifies.  </w:t>
      </w:r>
      <w:r>
        <w:t>The federal BRAC action at Louisville Naval Surface Warfare Station, Ky. advanced nationwide defense reorganization while GAO estimated 1,435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Louisville Naval Surface Warfare Station, Ky.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1,435 civilian jobs lost at Louisville Naval Surface Warfare Station, Ky. and 1,018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C-176  BRAC action at Lowry Air Force Base, Colo.</w:t>
      </w:r>
    </w:p>
    <w:p>
      <w:pPr>
        <w:keepNext/>
        <w:keepLines/>
      </w:pPr>
      <w:r>
        <w:rPr>
          <w:b/>
        </w:rPr>
        <w:t xml:space="preserve">Why this qualifies.  </w:t>
      </w:r>
      <w:r>
        <w:t>The federal BRAC action at Lowry Air Force Base, Colo. advanced nationwide defense reorganization while GAO estimated 2,275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Lowry Air Force Base, Colo.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2,275 civilian jobs lost at Lowry Air Force Base, Colo. and 1,357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C-177  BRAC action at March Air Force Base, Calif.</w:t>
      </w:r>
    </w:p>
    <w:p>
      <w:pPr>
        <w:keepNext/>
        <w:keepLines/>
      </w:pPr>
      <w:r>
        <w:rPr>
          <w:b/>
        </w:rPr>
        <w:t xml:space="preserve">Why this qualifies.  </w:t>
      </w:r>
      <w:r>
        <w:t>The federal BRAC action at March Air Force Base, Calif. advanced nationwide defense reorganization while GAO estimated 997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March Air Force Base,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997 civilian jobs lost at March Air Force Base, Calif. and 572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C-178  BRAC action at Mare Island Naval Shipyard, Calif.</w:t>
      </w:r>
    </w:p>
    <w:p>
      <w:pPr>
        <w:keepNext/>
        <w:keepLines/>
      </w:pPr>
      <w:r>
        <w:rPr>
          <w:b/>
        </w:rPr>
        <w:t xml:space="preserve">Why this qualifies.  </w:t>
      </w:r>
      <w:r>
        <w:t>The federal BRAC action at Mare Island Naval Shipyard, Calif. advanced nationwide defense reorganization while GAO estimated 7,567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Mare Island Naval Shipyard,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7,567 civilian jobs lost at Mare Island Naval Shipyard, Calif. and 1,548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C-179  BRAC action at Mather Air Force Base, Calif.</w:t>
      </w:r>
    </w:p>
    <w:p>
      <w:pPr>
        <w:keepNext/>
        <w:keepLines/>
      </w:pPr>
      <w:r>
        <w:rPr>
          <w:b/>
        </w:rPr>
        <w:t xml:space="preserve">Why this qualifies.  </w:t>
      </w:r>
      <w:r>
        <w:t>The federal BRAC action at Mather Air Force Base, Calif. advanced nationwide defense reorganization while GAO estimated 1,012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Mather Air Force Base,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1,012 civilian jobs lost at Mather Air Force Base, Calif. and 3,514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C-180  BRAC action at Memphis Defense Distribution Depot, Tenn.</w:t>
      </w:r>
    </w:p>
    <w:p>
      <w:pPr>
        <w:keepNext/>
        <w:keepLines/>
      </w:pPr>
      <w:r>
        <w:rPr>
          <w:b/>
        </w:rPr>
        <w:t xml:space="preserve">Why this qualifies.  </w:t>
      </w:r>
      <w:r>
        <w:t>The federal BRAC action at Memphis Defense Distribution Depot, Tenn. advanced nationwide defense reorganization while GAO estimated 1,289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Memphis Defense Distribution Depot, Tenn.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1,289 civilian jobs lost at Memphis Defense Distribution Depot, Tenn. and 573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C-181  BRAC action at Memphis Naval Air Station, Tenn.</w:t>
      </w:r>
    </w:p>
    <w:p>
      <w:pPr>
        <w:keepNext/>
        <w:keepLines/>
      </w:pPr>
      <w:r>
        <w:rPr>
          <w:b/>
        </w:rPr>
        <w:t xml:space="preserve">Why this qualifies.  </w:t>
      </w:r>
      <w:r>
        <w:t>The federal BRAC action at Memphis Naval Air Station, Tenn. advanced nationwide defense reorganization while GAO estimated 250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Memphis Naval Air Station, Tenn.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250 civilian jobs lost at Memphis Naval Air Station, Tenn. and 112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C-182  BRAC action at Myrtle Beach Air Force Base, S.C.</w:t>
      </w:r>
    </w:p>
    <w:p>
      <w:pPr>
        <w:keepNext/>
        <w:keepLines/>
      </w:pPr>
      <w:r>
        <w:rPr>
          <w:b/>
        </w:rPr>
        <w:t xml:space="preserve">Why this qualifies.  </w:t>
      </w:r>
      <w:r>
        <w:t>The federal BRAC action at Myrtle Beach Air Force Base, S.C. advanced nationwide defense reorganization while GAO estimated 784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Myrtle Beach Air Force Base, S.C. in one of the four 1988–1995 BRAC rounds to reorganize military infrastructure for national defense efficiency. GAO lists the site among major affected locations.</w:t>
      </w:r>
    </w:p>
    <w:p>
      <w:pPr>
        <w:keepLines/>
      </w:pPr>
      <w:r>
        <w:rPr>
          <w:b/>
        </w:rPr>
        <w:t xml:space="preserve">Worksite and group record.  </w:t>
      </w:r>
      <w:r>
        <w:t>GAO estimates 784 civilian jobs lost at Myrtle Beach Air Force Base, S.C. and 917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C-183  BRAC action at Newark Air Force Base, Ohio</w:t>
      </w:r>
    </w:p>
    <w:p>
      <w:pPr>
        <w:keepNext/>
        <w:keepLines/>
      </w:pPr>
      <w:r>
        <w:rPr>
          <w:b/>
        </w:rPr>
        <w:t xml:space="preserve">Why this qualifies.  </w:t>
      </w:r>
      <w:r>
        <w:t>The federal BRAC action at Newark Air Force Base, Ohio advanced nationwide defense reorganization while GAO estimated 1,760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Newark Air Force Base, Ohio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1,760 civilian jobs lost at Newark Air Force Base, Ohio and 1,050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C-184  BRAC action at Norton Air Force Base, Calif.</w:t>
      </w:r>
    </w:p>
    <w:p>
      <w:pPr>
        <w:keepNext/>
        <w:keepLines/>
      </w:pPr>
      <w:r>
        <w:rPr>
          <w:b/>
        </w:rPr>
        <w:t xml:space="preserve">Why this qualifies.  </w:t>
      </w:r>
      <w:r>
        <w:t>The federal BRAC action at Norton Air Force Base, Calif. advanced nationwide defense reorganization while GAO estimated 2,133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Norton Air Force Base,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2,133 civilian jobs lost at Norton Air Force Base, Calif. and 1,853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C-185  BRAC action at Oakland Naval Complex, Calif.</w:t>
      </w:r>
    </w:p>
    <w:p>
      <w:pPr>
        <w:keepNext/>
        <w:keepLines/>
      </w:pPr>
      <w:r>
        <w:rPr>
          <w:b/>
        </w:rPr>
        <w:t xml:space="preserve">Why this qualifies.  </w:t>
      </w:r>
      <w:r>
        <w:t>The federal BRAC action at Oakland Naval Complex, Calif. advanced nationwide defense reorganization while GAO estimated 2,834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Oakland Naval Complex,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2,834 civilian jobs lost at Oakland Naval Complex, Calif. and 838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C-186  BRAC action at Ogden Defense Distribution Depot, Utah</w:t>
      </w:r>
    </w:p>
    <w:p>
      <w:pPr>
        <w:keepNext/>
        <w:keepLines/>
      </w:pPr>
      <w:r>
        <w:rPr>
          <w:b/>
        </w:rPr>
        <w:t xml:space="preserve">Why this qualifies.  </w:t>
      </w:r>
      <w:r>
        <w:t>The federal BRAC action at Ogden Defense Distribution Depot, Utah advanced nationwide defense reorganization while GAO estimated 1,105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Ogden Defense Distribution Depot, Utah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1,105 civilian jobs lost at Ogden Defense Distribution Depot, Utah and 611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C-187  BRAC action at Orlando Naval Training Center, Fla.</w:t>
      </w:r>
    </w:p>
    <w:p>
      <w:pPr>
        <w:keepNext/>
        <w:keepLines/>
      </w:pPr>
      <w:r>
        <w:rPr>
          <w:b/>
        </w:rPr>
        <w:t xml:space="preserve">Why this qualifies.  </w:t>
      </w:r>
      <w:r>
        <w:t>The federal BRAC action at Orlando Naval Training Center, Fla. advanced nationwide defense reorganization while GAO estimated 1,105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Orlando Naval Training Center, Fla.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1,105 civilian jobs lost at Orlando Naval Training Center, Fla. and 1,131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C-188  BRAC action at Pease Air Force Base, N.H.</w:t>
      </w:r>
    </w:p>
    <w:p>
      <w:pPr>
        <w:keepNext/>
        <w:keepLines/>
      </w:pPr>
      <w:r>
        <w:rPr>
          <w:b/>
        </w:rPr>
        <w:t xml:space="preserve">Why this qualifies.  </w:t>
      </w:r>
      <w:r>
        <w:t>The federal BRAC action at Pease Air Force Base, N.H. advanced nationwide defense reorganization while GAO estimated 400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Pease Air Force Base, N.H. in one of the four 1988–1995 BRAC rounds to reorganize military infrastructure for national defense efficiency. GAO lists the site among major affected locations.</w:t>
      </w:r>
    </w:p>
    <w:p>
      <w:pPr>
        <w:keepLines/>
      </w:pPr>
      <w:r>
        <w:rPr>
          <w:b/>
        </w:rPr>
        <w:t xml:space="preserve">Worksite and group record.  </w:t>
      </w:r>
      <w:r>
        <w:t>GAO estimates 400 civilian jobs lost at Pease Air Force Base, N.H. and 4,367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C-189  BRAC action at Philadelphia Defense Personnel Supply Center, Pa.</w:t>
      </w:r>
    </w:p>
    <w:p>
      <w:pPr>
        <w:keepNext/>
        <w:keepLines/>
      </w:pPr>
      <w:r>
        <w:rPr>
          <w:b/>
        </w:rPr>
        <w:t xml:space="preserve">Why this qualifies.  </w:t>
      </w:r>
      <w:r>
        <w:t>The federal BRAC action at Philadelphia Defense Personnel Supply Center, Pa. advanced nationwide defense reorganization while GAO estimated 1,485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Philadelphia Defense Personnel Supply Center, Pa.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1,485 civilian jobs lost at Philadelphia Defense Personnel Supply Center, Pa. and 300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C-190  BRAC action at Philadelphia Naval Complex, Pa.</w:t>
      </w:r>
    </w:p>
    <w:p>
      <w:pPr>
        <w:keepNext/>
        <w:keepLines/>
      </w:pPr>
      <w:r>
        <w:rPr>
          <w:b/>
        </w:rPr>
        <w:t xml:space="preserve">Why this qualifies.  </w:t>
      </w:r>
      <w:r>
        <w:t>The federal BRAC action at Philadelphia Naval Complex, Pa. advanced nationwide defense reorganization while GAO estimated 8,119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Philadelphia Naval Complex, Pa.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8,119 civilian jobs lost at Philadelphia Naval Complex, Pa. and 2,268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C-191  BRAC action at Plattsburgh Air Force Base, N.Y.</w:t>
      </w:r>
    </w:p>
    <w:p>
      <w:pPr>
        <w:keepNext/>
        <w:keepLines/>
      </w:pPr>
      <w:r>
        <w:rPr>
          <w:b/>
        </w:rPr>
        <w:t xml:space="preserve">Why this qualifies.  </w:t>
      </w:r>
      <w:r>
        <w:t>The federal BRAC action at Plattsburgh Air Force Base, N.Y. advanced nationwide defense reorganization while GAO estimated 352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Plattsburgh Air Force Base, N.Y.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352 civilian jobs lost at Plattsburgh Air Force Base, N.Y. and 881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C-192  BRAC action at Presidio of San Francisco, Calif.</w:t>
      </w:r>
    </w:p>
    <w:p>
      <w:pPr>
        <w:keepNext/>
        <w:keepLines/>
      </w:pPr>
      <w:r>
        <w:rPr>
          <w:b/>
        </w:rPr>
        <w:t xml:space="preserve">Why this qualifies.  </w:t>
      </w:r>
      <w:r>
        <w:t>The federal BRAC action at Presidio of San Francisco, Calif. advanced nationwide defense reorganization while GAO estimated 3,150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1988 BRAC decision; site impact through October 2001. The Defense Department closed or realigned Presidio of San Francisco,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3,150 civilian jobs lost at Presidio of San Francisco, Calif. and 1,980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1988 decision round. Neither is an individual separation roster.</w:t>
      </w:r>
    </w:p>
    <w:p>
      <w:pPr>
        <w:pStyle w:val="Heading2"/>
      </w:pPr>
      <w:r>
        <w:t>C-193  BRAC action at Reese Air Force Base, Tex.</w:t>
      </w:r>
    </w:p>
    <w:p>
      <w:pPr>
        <w:keepNext/>
        <w:keepLines/>
      </w:pPr>
      <w:r>
        <w:rPr>
          <w:b/>
        </w:rPr>
        <w:t xml:space="preserve">Why this qualifies.  </w:t>
      </w:r>
      <w:r>
        <w:t>The federal BRAC action at Reese Air Force Base, Tex. advanced nationwide defense reorganization while GAO estimated 1,238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Reese Air Force Base, Tex.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1,238 civilian jobs lost at Reese Air Force Base, Tex. and 138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C-194  BRAC action at Red River Army Depot, Tex.</w:t>
      </w:r>
    </w:p>
    <w:p>
      <w:pPr>
        <w:keepNext/>
        <w:keepLines/>
      </w:pPr>
      <w:r>
        <w:rPr>
          <w:b/>
        </w:rPr>
        <w:t xml:space="preserve">Why this qualifies.  </w:t>
      </w:r>
      <w:r>
        <w:t>The federal BRAC action at Red River Army Depot, Tex. advanced nationwide defense reorganization while GAO estimated 386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Red River Army Depot, Tex.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386 civilian jobs lost at Red River Army Depot, Tex. and 186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C-195  BRAC action at Sacramento Army Depot, Calif.</w:t>
      </w:r>
    </w:p>
    <w:p>
      <w:pPr>
        <w:keepNext/>
        <w:keepLines/>
      </w:pPr>
      <w:r>
        <w:rPr>
          <w:b/>
        </w:rPr>
        <w:t xml:space="preserve">Why this qualifies.  </w:t>
      </w:r>
      <w:r>
        <w:t>The federal BRAC action at Sacramento Army Depot, Calif. advanced nationwide defense reorganization while GAO estimated 3,164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Sacramento Army Depot,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3,164 civilian jobs lost at Sacramento Army Depot, Calif. and 101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C-196  BRAC action at San Diego Naval Training Center, Calif.</w:t>
      </w:r>
    </w:p>
    <w:p>
      <w:pPr>
        <w:keepNext/>
        <w:keepLines/>
      </w:pPr>
      <w:r>
        <w:rPr>
          <w:b/>
        </w:rPr>
        <w:t xml:space="preserve">Why this qualifies.  </w:t>
      </w:r>
      <w:r>
        <w:t>The federal BRAC action at San Diego Naval Training Center, Calif. advanced nationwide defense reorganization while GAO estimated 402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San Diego Naval Training Center,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402 civilian jobs lost at San Diego Naval Training Center, Calif. and 48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C-197  BRAC action at Savanna Army Depot, Ill.</w:t>
      </w:r>
    </w:p>
    <w:p>
      <w:pPr>
        <w:keepNext/>
        <w:keepLines/>
      </w:pPr>
      <w:r>
        <w:rPr>
          <w:b/>
        </w:rPr>
        <w:t xml:space="preserve">Why this qualifies.  </w:t>
      </w:r>
      <w:r>
        <w:t>The federal BRAC action at Savanna Army Depot, Ill. advanced nationwide defense reorganization while GAO estimated 436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Savanna Army Depot, Ill. in one of the four 1988–1995 BRAC rounds to reorganize military infrastructure for national defense efficiency. GAO lists the site among major affected locations.</w:t>
      </w:r>
    </w:p>
    <w:p>
      <w:pPr>
        <w:keepLines/>
      </w:pPr>
      <w:r>
        <w:rPr>
          <w:b/>
        </w:rPr>
        <w:t xml:space="preserve">Worksite and group record.  </w:t>
      </w:r>
      <w:r>
        <w:t>GAO estimates 436 civilian jobs lost at Savanna Army Depot, Ill. and 62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C-198  BRAC action at Seneca Army Depot, N.Y.</w:t>
      </w:r>
    </w:p>
    <w:p>
      <w:pPr>
        <w:keepNext/>
        <w:keepLines/>
      </w:pPr>
      <w:r>
        <w:rPr>
          <w:b/>
        </w:rPr>
        <w:t xml:space="preserve">Why this qualifies.  </w:t>
      </w:r>
      <w:r>
        <w:t>The federal BRAC action at Seneca Army Depot, N.Y. advanced nationwide defense reorganization while GAO estimated 273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Seneca Army Depot, N.Y.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273 civilian jobs lost at Seneca Army Depot, N.Y. and 944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C-199  BRAC action at Sierra Army Depot, Calif.</w:t>
      </w:r>
    </w:p>
    <w:p>
      <w:pPr>
        <w:keepNext/>
        <w:keepLines/>
      </w:pPr>
      <w:r>
        <w:rPr>
          <w:b/>
        </w:rPr>
        <w:t xml:space="preserve">Why this qualifies.  </w:t>
      </w:r>
      <w:r>
        <w:t>The federal BRAC action at Sierra Army Depot, Calif. advanced nationwide defense reorganization while GAO estimated 374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Sierra Army Depot,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374 civilian jobs lost at Sierra Army Depot, Calif. and 262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C-200  BRAC action at Staten Island Naval Station, N.Y.</w:t>
      </w:r>
    </w:p>
    <w:p>
      <w:pPr>
        <w:keepNext/>
        <w:keepLines/>
      </w:pPr>
      <w:r>
        <w:rPr>
          <w:b/>
        </w:rPr>
        <w:t xml:space="preserve">Why this qualifies.  </w:t>
      </w:r>
      <w:r>
        <w:t>The federal BRAC action at Staten Island Naval Station, N.Y. advanced nationwide defense reorganization while GAO estimated 1,001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Staten Island Naval Station, N.Y.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1,001 civilian jobs lost at Staten Island Naval Station, N.Y. and 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C-201  BRAC action at Stratford Army Engineering Plant, Conn.</w:t>
      </w:r>
    </w:p>
    <w:p>
      <w:pPr>
        <w:keepNext/>
        <w:keepLines/>
      </w:pPr>
      <w:r>
        <w:rPr>
          <w:b/>
        </w:rPr>
        <w:t xml:space="preserve">Why this qualifies.  </w:t>
      </w:r>
      <w:r>
        <w:t>The federal BRAC action at Stratford Army Engineering Plant, Conn. advanced nationwide defense reorganization while GAO estimated 1,400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1995 BRAC decision; site impact through October 2001. The Defense Department closed or realigned Stratford Army Engineering Plant, Conn.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1,400 civilian jobs lost at Stratford Army Engineering Plant, Conn. and 111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1995 decision round. Neither is an individual separation roster.</w:t>
      </w:r>
    </w:p>
    <w:p>
      <w:pPr>
        <w:pStyle w:val="Heading2"/>
      </w:pPr>
      <w:r>
        <w:t>C-202  BRAC action at Tooele Army Depot, Utah</w:t>
      </w:r>
    </w:p>
    <w:p>
      <w:pPr>
        <w:keepNext/>
        <w:keepLines/>
      </w:pPr>
      <w:r>
        <w:rPr>
          <w:b/>
        </w:rPr>
        <w:t xml:space="preserve">Why this qualifies.  </w:t>
      </w:r>
      <w:r>
        <w:t>The federal BRAC action at Tooele Army Depot, Utah advanced nationwide defense reorganization while GAO estimated 1,942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Tooele Army Depot, Utah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1,942 civilian jobs lost at Tooele Army Depot, Utah and 819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C-203  BRAC action at Treasure Island Naval Station, Calif.</w:t>
      </w:r>
    </w:p>
    <w:p>
      <w:pPr>
        <w:keepNext/>
        <w:keepLines/>
      </w:pPr>
      <w:r>
        <w:rPr>
          <w:b/>
        </w:rPr>
        <w:t xml:space="preserve">Why this qualifies.  </w:t>
      </w:r>
      <w:r>
        <w:t>The federal BRAC action at Treasure Island Naval Station, Calif. advanced nationwide defense reorganization while GAO estimated 454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Treasure Island Naval Station,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454 civilian jobs lost at Treasure Island Naval Station, Calif. and 59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C-204  BRAC action at Tustin Marine Corps Air Station, Calif.</w:t>
      </w:r>
    </w:p>
    <w:p>
      <w:pPr>
        <w:keepNext/>
        <w:keepLines/>
      </w:pPr>
      <w:r>
        <w:rPr>
          <w:b/>
        </w:rPr>
        <w:t xml:space="preserve">Why this qualifies.  </w:t>
      </w:r>
      <w:r>
        <w:t>The federal BRAC action at Tustin Marine Corps Air Station, Calif. advanced nationwide defense reorganization while GAO estimated 348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Tustin Marine Corps Air Station, Calif. in one of the four 1988–1995 BRAC rounds to reorganize military infrastructure for national defense efficiency. GAO lists the site among major affected locations.</w:t>
      </w:r>
    </w:p>
    <w:p>
      <w:pPr>
        <w:keepLines/>
      </w:pPr>
      <w:r>
        <w:rPr>
          <w:b/>
        </w:rPr>
        <w:t xml:space="preserve">Worksite and group record.  </w:t>
      </w:r>
      <w:r>
        <w:t>GAO estimates 348 civilian jobs lost at Tustin Marine Corps Air Station, Calif. and 2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C-205  BRAC action at Vint Hill Farms Station, Va.</w:t>
      </w:r>
    </w:p>
    <w:p>
      <w:pPr>
        <w:keepNext/>
        <w:keepLines/>
      </w:pPr>
      <w:r>
        <w:rPr>
          <w:b/>
        </w:rPr>
        <w:t xml:space="preserve">Why this qualifies.  </w:t>
      </w:r>
      <w:r>
        <w:t>The federal BRAC action at Vint Hill Farms Station, Va. advanced nationwide defense reorganization while GAO estimated 1,472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1993 BRAC decision; site impact through October 2001. The Defense Department closed or realigned Vint Hill Farms Station, Va.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1,472 civilian jobs lost at Vint Hill Farms Station, Va. and 344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1993 decision round. Neither is an individual separation roster.</w:t>
      </w:r>
    </w:p>
    <w:p>
      <w:pPr>
        <w:pStyle w:val="Heading2"/>
      </w:pPr>
      <w:r>
        <w:t>C-206  BRAC action at Warminster Naval Air Warfare Center, Pa.</w:t>
      </w:r>
    </w:p>
    <w:p>
      <w:pPr>
        <w:keepNext/>
        <w:keepLines/>
      </w:pPr>
      <w:r>
        <w:rPr>
          <w:b/>
        </w:rPr>
        <w:t xml:space="preserve">Why this qualifies.  </w:t>
      </w:r>
      <w:r>
        <w:t>The federal BRAC action at Warminster Naval Air Warfare Center, Pa. advanced nationwide defense reorganization while GAO estimated 2,311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Warminster Naval Air Warfare Center, Pa. in one of the four 1988–1995 BRAC rounds to reorganize military infrastructure for national defense efficiency. GAO lists the site among major affected locations.</w:t>
      </w:r>
    </w:p>
    <w:p>
      <w:pPr>
        <w:keepLines/>
      </w:pPr>
      <w:r>
        <w:rPr>
          <w:b/>
        </w:rPr>
        <w:t xml:space="preserve">Worksite and group record.  </w:t>
      </w:r>
      <w:r>
        <w:t>GAO estimates 2,311 civilian jobs lost at Warminster Naval Air Warfare Center, Pa. and 398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C-207  BRAC action at Williams Air Force Base, Ariz.</w:t>
      </w:r>
    </w:p>
    <w:p>
      <w:pPr>
        <w:keepNext/>
        <w:keepLines/>
      </w:pPr>
      <w:r>
        <w:rPr>
          <w:b/>
        </w:rPr>
        <w:t xml:space="preserve">Why this qualifies.  </w:t>
      </w:r>
      <w:r>
        <w:t>The federal BRAC action at Williams Air Force Base, Ariz. advanced nationwide defense reorganization while GAO estimated 728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Williams Air Force Base, Ariz. in one of the four 1988–1995 BRAC rounds to reorganize military infrastructure for national defense efficiency. GAO lists the site among major affected locations.</w:t>
      </w:r>
    </w:p>
    <w:p>
      <w:pPr>
        <w:keepLines/>
      </w:pPr>
      <w:r>
        <w:rPr>
          <w:b/>
        </w:rPr>
        <w:t xml:space="preserve">Worksite and group record.  </w:t>
      </w:r>
      <w:r>
        <w:t>GAO estimates 728 civilian jobs lost at Williams Air Force Base, Ariz. and 2,200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C-208  BRAC action at Wurtsmith Air Force Base, Mich.</w:t>
      </w:r>
    </w:p>
    <w:p>
      <w:pPr>
        <w:keepNext/>
        <w:keepLines/>
      </w:pPr>
      <w:r>
        <w:rPr>
          <w:b/>
        </w:rPr>
        <w:t xml:space="preserve">Why this qualifies.  </w:t>
      </w:r>
      <w:r>
        <w:t>The federal BRAC action at Wurtsmith Air Force Base, Mich. advanced nationwide defense reorganization while GAO estimated 690 civilian jobs lost there, a material burden on a smaller established worksite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1991 BRAC decision; site impact through October 2001. The Defense Department closed or realigned Wurtsmith Air Force Base, Mich. in one of the four 1988–1995 BRAC rounds to reorganize military infrastructure for national defense efficiency. GAO lists the site among major affected locations.</w:t>
      </w:r>
    </w:p>
    <w:p>
      <w:pPr>
        <w:keepLines/>
      </w:pPr>
      <w:r>
        <w:rPr>
          <w:b/>
        </w:rPr>
        <w:t xml:space="preserve">Worksite and group record.  </w:t>
      </w:r>
      <w:r>
        <w:t>GAO estimates 690 civilian jobs lost at Wurtsmith Air Force Base, Mich. and 587 redevelopment jobs created at the site by October 31, 2001. The exposed group is its established civilian workforce.</w:t>
      </w:r>
    </w:p>
    <w:p>
      <w:pPr>
        <w:keepLines/>
      </w:pPr>
      <w:r>
        <w:rPr>
          <w:b/>
        </w:rPr>
        <w:t xml:space="preserve">Causation and legal limits.  </w:t>
      </w:r>
      <w:r>
        <w:t>GAO says its jobs-lost counts came from BRAC decision estimates, rather than a roster of individual layoffs. Some actions were realignments; transfers, retirement, contractor changes and later redevelopment jobs require separate assessment.</w:t>
      </w:r>
    </w:p>
    <w:p>
      <w:pPr>
        <w:keepLines/>
      </w:pPr>
      <w:r>
        <w:rPr>
          <w:b/>
        </w:rPr>
        <w:t xml:space="preserve">Further event evidence.  </w:t>
      </w:r>
      <w:r>
        <w:t>Verify the site-specific BRAC decision and implementation date, then match original personnel and payroll to separations, transfers, retirement and later work.</w:t>
      </w:r>
    </w:p>
    <w:p>
      <w:pPr>
        <w:keepLines/>
        <w:spacing w:after="120"/>
      </w:pPr>
      <w:r>
        <w:rPr>
          <w:b/>
        </w:rPr>
        <w:t xml:space="preserve">Sources and citation check.  </w:t>
      </w:r>
      <w:hyperlink r:id="rId12">
        <w:r>
          <w:rPr>
            <w:color w:val="185B83"/>
            <w:u w:val="single"/>
          </w:rPr>
          <w:t>Defense Base Closure and Realignment process (gao.gov)</w:t>
        </w:r>
      </w:hyperlink>
      <w:r>
        <w:t xml:space="preserve">; </w:t>
      </w:r>
      <w:hyperlink r:id="rId152">
        <w:r>
          <w:rPr>
            <w:color w:val="185B83"/>
            <w:u w:val="single"/>
          </w:rPr>
          <w:t>Additional legal or source record (gao.gov)</w:t>
        </w:r>
      </w:hyperlink>
      <w:r>
        <w:t xml:space="preserve">.  </w:t>
      </w:r>
      <w:r>
        <w:t>GAO-02-433 Table 7 estimates the civilian positions lost and redevelopment jobs by October 2001; GAO-05-614 Table 3 independently identifies the 1991 decision round. Neither is an individual separation roster.</w:t>
      </w:r>
    </w:p>
    <w:p>
      <w:pPr>
        <w:pStyle w:val="Heading2"/>
      </w:pPr>
      <w:r>
        <w:t>C-209  2005 BRAC closure of Fort Gillem</w:t>
      </w:r>
    </w:p>
    <w:p>
      <w:pPr>
        <w:keepNext/>
        <w:keepLines/>
      </w:pPr>
      <w:r>
        <w:rPr>
          <w:b/>
        </w:rPr>
        <w:t xml:space="preserve">Why this qualifies.  </w:t>
      </w:r>
      <w:r>
        <w:t>Federal military reorganization closed Fort Gillem for a national defense purpose while the official baseline projected the loss or movement of 570 civilian positions from that worksite, materially affecting a smaller established installation and supply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Fort Gillem in Forest Park, Georgia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570 civilian positions at the site. The materially exposed group is the established installation and supply workforce at Fort Gillem.</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C-210  2005 BRAC closure of Fort McPherson</w:t>
      </w:r>
    </w:p>
    <w:p>
      <w:pPr>
        <w:keepNext/>
        <w:keepLines/>
      </w:pPr>
      <w:r>
        <w:rPr>
          <w:b/>
        </w:rPr>
        <w:t xml:space="preserve">Why this qualifies.  </w:t>
      </w:r>
      <w:r>
        <w:t>Federal military reorganization closed Fort McPherson for a national defense purpose while the official baseline projected the loss or movement of 1,881 civilian positions from that worksite, materially affecting a smaller established Army headquarters and installation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Fort McPherson in Atlanta, Georgia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1,881 civilian positions at the site. The materially exposed group is the established Army headquarters and installation workforce at Fort McPherson.</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C-211  2005 BRAC closure of Fort Monroe</w:t>
      </w:r>
    </w:p>
    <w:p>
      <w:pPr>
        <w:keepNext/>
        <w:keepLines/>
      </w:pPr>
      <w:r>
        <w:rPr>
          <w:b/>
        </w:rPr>
        <w:t xml:space="preserve">Why this qualifies.  </w:t>
      </w:r>
      <w:r>
        <w:t>Federal military reorganization closed Fort Monroe for a national defense purpose while the official baseline projected the loss or movement of 1,948 civilian positions and 223 contractor positions from that worksite, materially affecting a smaller established Army headquarters and installation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Fort Monroe in Hampton, Virginia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1,948 civilian positions and 223 contractor positions at the site. The materially exposed group is the established Army headquarters and installation workforce at Fort Monroe.</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C-212  2005 BRAC closure of Kansas Army Ammunition Plant</w:t>
      </w:r>
    </w:p>
    <w:p>
      <w:pPr>
        <w:keepNext/>
        <w:keepLines/>
      </w:pPr>
      <w:r>
        <w:rPr>
          <w:b/>
        </w:rPr>
        <w:t xml:space="preserve">Why this qualifies.  </w:t>
      </w:r>
      <w:r>
        <w:t>Federal military reorganization closed Kansas Army Ammunition Plant for a national defense purpose while the official baseline projected the loss or movement of 8 civilian positions and 159 contractor positions from that worksite, materially affecting a smaller established ammunition production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Kansas Army Ammunition Plant in Parsons, Kansas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8 civilian positions and 159 contractor positions at the site. The materially exposed group is the established ammunition production workforce at Kansas Army Ammunition Plant.</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C-213  2005 BRAC closure of Lone Star Army Ammunition Plant</w:t>
      </w:r>
    </w:p>
    <w:p>
      <w:pPr>
        <w:keepNext/>
        <w:keepLines/>
      </w:pPr>
      <w:r>
        <w:rPr>
          <w:b/>
        </w:rPr>
        <w:t xml:space="preserve">Why this qualifies.  </w:t>
      </w:r>
      <w:r>
        <w:t>Federal military reorganization closed Lone Star Army Ammunition Plant for a national defense purpose while the official baseline projected the loss or movement of 18 civilian positions and 129 contractor positions from that worksite, materially affecting a smaller established ammunition storage and production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Lone Star Army Ammunition Plant in Texarkana, Texas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18 civilian positions and 129 contractor positions at the site. The materially exposed group is the established ammunition storage and production workforce at Lone Star Army Ammunition Plant.</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C-214  2005 BRAC closure of Mississippi Army Ammunition Plant</w:t>
      </w:r>
    </w:p>
    <w:p>
      <w:pPr>
        <w:keepNext/>
        <w:keepLines/>
      </w:pPr>
      <w:r>
        <w:rPr>
          <w:b/>
        </w:rPr>
        <w:t xml:space="preserve">Why this qualifies.  </w:t>
      </w:r>
      <w:r>
        <w:t>Federal military reorganization closed Mississippi Army Ammunition Plant for a national defense purpose while the official baseline projected the loss or movement of 4 civilian positions and 50 contractor positions from that worksite, materially affecting a smaller established ammunition production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Mississippi Army Ammunition Plant in Hancock County, Mississippi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4 civilian positions and 50 contractor positions at the site. The materially exposed group is the established ammunition production workforce at Mississippi Army Ammunition Plant.</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C-215  2005 BRAC closure of Riverbank Army Ammunition Plant</w:t>
      </w:r>
    </w:p>
    <w:p>
      <w:pPr>
        <w:keepNext/>
        <w:keepLines/>
      </w:pPr>
      <w:r>
        <w:rPr>
          <w:b/>
        </w:rPr>
        <w:t xml:space="preserve">Why this qualifies.  </w:t>
      </w:r>
      <w:r>
        <w:t>Federal military reorganization closed Riverbank Army Ammunition Plant for a national defense purpose while the official baseline projected the loss or movement of 4 civilian positions and 85 contractor positions from that worksite, materially affecting a smaller established artillery cartridge production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Riverbank Army Ammunition Plant in Riverbank, California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4 civilian positions and 85 contractor positions at the site. The materially exposed group is the established artillery cartridge production workforce at Riverbank Army Ammunition Plant.</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C-216  2005 BRAC closure of Selfridge Army Activity</w:t>
      </w:r>
    </w:p>
    <w:p>
      <w:pPr>
        <w:keepNext/>
        <w:keepLines/>
      </w:pPr>
      <w:r>
        <w:rPr>
          <w:b/>
        </w:rPr>
        <w:t xml:space="preserve">Why this qualifies.  </w:t>
      </w:r>
      <w:r>
        <w:t>Federal military reorganization closed Selfridge Army Activity for a national defense purpose while the official baseline projected the loss or movement of 174 civilian positions and 76 contractor positions from that worksite, materially affecting a smaller established Army activity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Selfridge Army Activity in Chesterfield Township, Michigan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174 civilian positions and 76 contractor positions at the site. The materially exposed group is the established Army activity workforce at Selfridge Army Activity.</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C-217  2005 BRAC closure of Naval Air Station Atlanta</w:t>
      </w:r>
    </w:p>
    <w:p>
      <w:pPr>
        <w:keepNext/>
        <w:keepLines/>
      </w:pPr>
      <w:r>
        <w:rPr>
          <w:b/>
        </w:rPr>
        <w:t xml:space="preserve">Why this qualifies.  </w:t>
      </w:r>
      <w:r>
        <w:t>Federal military reorganization closed Naval Air Station Atlanta for a national defense purpose while the official baseline projected the loss or movement of 156 civilian positions and 68 contractor positions from that worksite, materially affecting a smaller established naval aviation support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Naval Air Station Atlanta in Marietta, Georgia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156 civilian positions and 68 contractor positions at the site. The materially exposed group is the established naval aviation support workforce at Naval Air Station Atlanta.</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C-218  2005 BRAC closure of Naval Air Station Brunswick</w:t>
      </w:r>
    </w:p>
    <w:p>
      <w:pPr>
        <w:keepNext/>
        <w:keepLines/>
      </w:pPr>
      <w:r>
        <w:rPr>
          <w:b/>
        </w:rPr>
        <w:t xml:space="preserve">Why this qualifies.  </w:t>
      </w:r>
      <w:r>
        <w:t>Federal military reorganization closed Naval Air Station Brunswick for a national defense purpose while the official baseline projected the loss or movement of 61 civilian positions and 42 contractor positions from that worksite, materially affecting a smaller established naval aviation support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Naval Air Station Brunswick in Brunswick, Maine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61 civilian positions and 42 contractor positions at the site. The materially exposed group is the established naval aviation support workforce at Naval Air Station Brunswick.</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C-219  2005 BRAC closure of Naval Air Station Willow Grove</w:t>
      </w:r>
    </w:p>
    <w:p>
      <w:pPr>
        <w:keepNext/>
        <w:keepLines/>
      </w:pPr>
      <w:r>
        <w:rPr>
          <w:b/>
        </w:rPr>
        <w:t xml:space="preserve">Why this qualifies.  </w:t>
      </w:r>
      <w:r>
        <w:t>Federal military reorganization closed Naval Air Station Willow Grove for a national defense purpose while the official baseline projected the loss or movement of 357 civilian positions and 5 contractor positions from that worksite, materially affecting a smaller established naval aviation support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Naval Air Station Willow Grove in Horsham, Pennsylvania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357 civilian positions and 5 contractor positions at the site. The materially exposed group is the established naval aviation support workforce at Naval Air Station Willow Grove.</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C-220  2005 BRAC closure of Naval Station Ingleside</w:t>
      </w:r>
    </w:p>
    <w:p>
      <w:pPr>
        <w:keepNext/>
        <w:keepLines/>
      </w:pPr>
      <w:r>
        <w:rPr>
          <w:b/>
        </w:rPr>
        <w:t xml:space="preserve">Why this qualifies.  </w:t>
      </w:r>
      <w:r>
        <w:t>Federal military reorganization closed Naval Station Ingleside for a national defense purpose while the official baseline projected the loss or movement of 260 civilian positions and 57 contractor positions from that worksite, materially affecting a smaller established naval station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Naval Station Ingleside in Ingleside, Texas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260 civilian positions and 57 contractor positions at the site. The materially exposed group is the established naval station workforce at Naval Station Ingleside.</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C-221  2005 BRAC closure of Naval Station Pascagoula</w:t>
      </w:r>
    </w:p>
    <w:p>
      <w:pPr>
        <w:keepNext/>
        <w:keepLines/>
      </w:pPr>
      <w:r>
        <w:rPr>
          <w:b/>
        </w:rPr>
        <w:t xml:space="preserve">Why this qualifies.  </w:t>
      </w:r>
      <w:r>
        <w:t>Federal military reorganization closed Naval Station Pascagoula for a national defense purpose while the official baseline projected the loss or movement of 112 civilian positions and 7 contractor positions from that worksite, materially affecting a smaller established naval station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Naval Station Pascagoula in Pascagoula, Mississippi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112 civilian positions and 7 contractor positions at the site. The materially exposed group is the established naval station workforce at Naval Station Pascagoula.</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C-222  2005 BRAC closure of Brooks City-Base</w:t>
      </w:r>
    </w:p>
    <w:p>
      <w:pPr>
        <w:keepNext/>
        <w:keepLines/>
      </w:pPr>
      <w:r>
        <w:rPr>
          <w:b/>
        </w:rPr>
        <w:t xml:space="preserve">Why this qualifies.  </w:t>
      </w:r>
      <w:r>
        <w:t>Federal military reorganization closed Brooks City-Base for a national defense purpose while the official baseline projected the loss or movement of 1,268 civilian positions and 358 contractor positions from that worksite, materially affecting a smaller established Air Force medical and support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Brooks City-Base in San Antonio, Texas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1,268 civilian positions and 358 contractor positions at the site. The materially exposed group is the established Air Force medical and support workforce at Brooks City-Base.</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C-223  2005 BRAC closure of General Mitchell Air Reserve Station</w:t>
      </w:r>
    </w:p>
    <w:p>
      <w:pPr>
        <w:keepNext/>
        <w:keepLines/>
      </w:pPr>
      <w:r>
        <w:rPr>
          <w:b/>
        </w:rPr>
        <w:t xml:space="preserve">Why this qualifies.  </w:t>
      </w:r>
      <w:r>
        <w:t>Federal military reorganization closed General Mitchell Air Reserve Station for a national defense purpose while the official baseline projected the loss or movement of 302 civilian positions from that worksite, materially affecting a smaller established air reserve station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General Mitchell Air Reserve Station in Milwaukee, Wisconsin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302 civilian positions at the site. The materially exposed group is the established air reserve station workforce at General Mitchell Air Reserve Station.</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C-224  2005 BRAC closure of Kulis Air Guard Station</w:t>
      </w:r>
    </w:p>
    <w:p>
      <w:pPr>
        <w:keepNext/>
        <w:keepLines/>
      </w:pPr>
      <w:r>
        <w:rPr>
          <w:b/>
        </w:rPr>
        <w:t xml:space="preserve">Why this qualifies.  </w:t>
      </w:r>
      <w:r>
        <w:t>Federal military reorganization closed Kulis Air Guard Station for a national defense purpose while the official baseline projected the loss or movement of 241 civilian positions from that worksite, materially affecting a smaller established Air National Guard civilian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Kulis Air Guard Station in Anchorage, Alaska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241 civilian positions at the site. The materially exposed group is the established Air National Guard civilian workforce at Kulis Air Guard Station.</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C-225  2005 BRAC closure of Onizuka Air Force Station</w:t>
      </w:r>
    </w:p>
    <w:p>
      <w:pPr>
        <w:keepNext/>
        <w:keepLines/>
      </w:pPr>
      <w:r>
        <w:rPr>
          <w:b/>
        </w:rPr>
        <w:t xml:space="preserve">Why this qualifies.  </w:t>
      </w:r>
      <w:r>
        <w:t>Federal military reorganization closed Onizuka Air Force Station for a national defense purpose while the official baseline projected the loss or movement of 171 civilian positions from that worksite, materially affecting a smaller established Air Force station workforce.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BRAC decision; implemented by September 2011. The approved 2005 BRAC round closed Onizuka Air Force Station in Sunnyvale, California to reorganize the military's national infrastructure. GAO later lists it among 23 major installations actually closed in that round.</w:t>
      </w:r>
    </w:p>
    <w:p>
      <w:pPr>
        <w:keepLines/>
      </w:pPr>
      <w:r>
        <w:rPr>
          <w:b/>
        </w:rPr>
        <w:t xml:space="preserve">Worksite and group record.  </w:t>
      </w:r>
      <w:r>
        <w:t>The Commission report's initial Defense Department projection showed decreases of 171 civilian positions at the site. The materially exposed group is the established Air Force station workforce at Onizuka Air Force Station.</w:t>
      </w:r>
    </w:p>
    <w:p>
      <w:pPr>
        <w:keepLines/>
      </w:pPr>
      <w:r>
        <w:rPr>
          <w:b/>
        </w:rPr>
        <w:t xml:space="preserve">Causation and legal limits.  </w:t>
      </w:r>
      <w:r>
        <w:t>The figures are preliminary position-change projections, not verified layoffs or the final approved cost estimate. Transfers, contractor reassignments and later site employment may reduce a particular group's loss; mission completion can be a separate cause.</w:t>
      </w:r>
    </w:p>
    <w:p>
      <w:pPr>
        <w:keepLines/>
      </w:pPr>
      <w:r>
        <w:rPr>
          <w:b/>
        </w:rPr>
        <w:t xml:space="preserve">Further event evidence.  </w:t>
      </w:r>
      <w:r>
        <w:t>Check the final recommendation and implementation date, then obtain group payroll, contracting and transfer records; reconcile the proposed position change with actual separations.</w:t>
      </w:r>
    </w:p>
    <w:p>
      <w:pPr>
        <w:keepLines/>
        <w:spacing w:after="120"/>
      </w:pPr>
      <w:r>
        <w:rPr>
          <w:b/>
        </w:rPr>
        <w:t xml:space="preserve">Sources and citation check.  </w:t>
      </w:r>
      <w:hyperlink r:id="rId153">
        <w:r>
          <w:rPr>
            <w:color w:val="185B83"/>
            <w:u w:val="single"/>
          </w:rPr>
          <w:t>2005 Defense Base Closure and Realignment Commission final action (gao.gov)</w:t>
        </w:r>
      </w:hyperlink>
      <w:r>
        <w:t xml:space="preserve">; </w:t>
      </w:r>
      <w:hyperlink r:id="rId154">
        <w:r>
          <w:rPr>
            <w:color w:val="185B83"/>
            <w:u w:val="single"/>
          </w:rPr>
          <w:t>Additional legal or source record (denix.osd.mil)</w:t>
        </w:r>
      </w:hyperlink>
      <w:r>
        <w:t xml:space="preserve">.  </w:t>
      </w:r>
      <w:r>
        <w:t>GAO-13-436 Appendix III verifies the implemented closure and locality; Commission Appendix M supplies baseline civilian and contractor position-change projections, not final individual losses.</w:t>
      </w:r>
    </w:p>
    <w:p>
      <w:pPr>
        <w:pStyle w:val="Heading2"/>
      </w:pPr>
      <w:r>
        <w:t>C-226  2021–22 Bristol Bay red king crab season closure</w:t>
      </w:r>
    </w:p>
    <w:p>
      <w:pPr>
        <w:keepNext/>
        <w:keepLines/>
      </w:pPr>
      <w:r>
        <w:rPr>
          <w:b/>
        </w:rPr>
        <w:t xml:space="preserve">Why this qualifies.  </w:t>
      </w:r>
      <w:r>
        <w:t>The full-season closure protected the resource while materially removing an established fleet's harvest and processing work.</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 2021–22 season. Alaska did not open the 2021–22 Bristol Bay red king crab season to conserve a depleted stock.</w:t>
      </w:r>
    </w:p>
    <w:p>
      <w:pPr>
        <w:keepLines/>
      </w:pPr>
      <w:r>
        <w:rPr>
          <w:b/>
        </w:rPr>
        <w:t xml:space="preserve">Worksite and group record.  </w:t>
      </w:r>
      <w:r>
        <w:t>The established Bristol Bay red king crab vessel, crew and processing groups lost a full authorized harvest season.</w:t>
      </w:r>
    </w:p>
    <w:p>
      <w:pPr>
        <w:keepLines/>
      </w:pPr>
      <w:r>
        <w:rPr>
          <w:b/>
        </w:rPr>
        <w:t xml:space="preserve">Causation and legal limits.  </w:t>
      </w:r>
      <w:r>
        <w:t>ADF&amp;G's disaster request attributes the stock decline chiefly to natural conditions and estimates large combined ex-vessel losses for two seasons; season-specific government-caused loss and any relief need separate accounting.</w:t>
      </w:r>
    </w:p>
    <w:p>
      <w:pPr>
        <w:keepLines/>
      </w:pPr>
      <w:r>
        <w:rPr>
          <w:b/>
        </w:rPr>
        <w:t xml:space="preserve">Further event evidence.  </w:t>
      </w:r>
      <w:r>
        <w:t>Match 2021–22 permits, landings, crew and plant records against baseline seasons and relief payments.</w:t>
      </w:r>
    </w:p>
    <w:p>
      <w:pPr>
        <w:keepLines/>
        <w:spacing w:after="120"/>
      </w:pPr>
      <w:r>
        <w:rPr>
          <w:b/>
        </w:rPr>
        <w:t xml:space="preserve">Sources and citation check.  </w:t>
      </w:r>
      <w:hyperlink r:id="rId155">
        <w:r>
          <w:rPr>
            <w:color w:val="185B83"/>
            <w:u w:val="single"/>
          </w:rPr>
          <w:t>Bristol Bay red king crab opening threshold and closure (adfg.alaska.gov)</w:t>
        </w:r>
      </w:hyperlink>
      <w:r>
        <w:t xml:space="preserve">; </w:t>
      </w:r>
      <w:hyperlink r:id="rId156">
        <w:r>
          <w:rPr>
            <w:color w:val="185B83"/>
            <w:u w:val="single"/>
          </w:rPr>
          <w:t>Additional legal or source record (newsrelease.adfg.alaska.gov)</w:t>
        </w:r>
      </w:hyperlink>
      <w:r>
        <w:t xml:space="preserve">.  </w:t>
      </w:r>
      <w:r>
        <w:t>Official agency closure or disaster records document the action and affected fleet; seasonal and competing-cause limits are explicit.</w:t>
      </w:r>
    </w:p>
    <w:p>
      <w:pPr>
        <w:pStyle w:val="Heading2"/>
      </w:pPr>
      <w:r>
        <w:t>C-227  2022–23 Bristol Bay red king crab season closure</w:t>
      </w:r>
    </w:p>
    <w:p>
      <w:pPr>
        <w:keepNext/>
        <w:keepLines/>
      </w:pPr>
      <w:r>
        <w:rPr>
          <w:b/>
        </w:rPr>
        <w:t xml:space="preserve">Why this qualifies.  </w:t>
      </w:r>
      <w:r>
        <w:t>The renewed conservation closure removed another full season of work from a small established fishery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 2022–23 season. Alaska again kept the Bristol Bay red king crab fishery closed for the 2022–23 season because mature female abundance remained low.</w:t>
      </w:r>
    </w:p>
    <w:p>
      <w:pPr>
        <w:keepLines/>
      </w:pPr>
      <w:r>
        <w:rPr>
          <w:b/>
        </w:rPr>
        <w:t xml:space="preserve">Worksite and group record.  </w:t>
      </w:r>
      <w:r>
        <w:t>The existing red king crab fleet, crews and processors lost a second complete season of legal harvest work.</w:t>
      </w:r>
    </w:p>
    <w:p>
      <w:pPr>
        <w:keepLines/>
      </w:pPr>
      <w:r>
        <w:rPr>
          <w:b/>
        </w:rPr>
        <w:t xml:space="preserve">Causation and legal limits.  </w:t>
      </w:r>
      <w:r>
        <w:t>The stock decline, overlapping snow-crab failure and existing disaster funds are distinct; two seasons are separate decisions but the same worker must not recover twice for a common loss.</w:t>
      </w:r>
    </w:p>
    <w:p>
      <w:pPr>
        <w:keepLines/>
      </w:pPr>
      <w:r>
        <w:rPr>
          <w:b/>
        </w:rPr>
        <w:t xml:space="preserve">Further event evidence.  </w:t>
      </w:r>
      <w:r>
        <w:t>Trace this season's permit, crew, plant and ex-vessel receipts and disaster offsets separately from 2021–22.</w:t>
      </w:r>
    </w:p>
    <w:p>
      <w:pPr>
        <w:keepLines/>
        <w:spacing w:after="120"/>
      </w:pPr>
      <w:r>
        <w:rPr>
          <w:b/>
        </w:rPr>
        <w:t xml:space="preserve">Sources and citation check.  </w:t>
      </w:r>
      <w:hyperlink r:id="rId155">
        <w:r>
          <w:rPr>
            <w:color w:val="185B83"/>
            <w:u w:val="single"/>
          </w:rPr>
          <w:t>Bristol Bay red king crab opening threshold and closure (adfg.alaska.gov)</w:t>
        </w:r>
      </w:hyperlink>
      <w:r>
        <w:t xml:space="preserve">; </w:t>
      </w:r>
      <w:hyperlink r:id="rId157">
        <w:r>
          <w:rPr>
            <w:color w:val="185B83"/>
            <w:u w:val="single"/>
          </w:rPr>
          <w:t>Additional legal or source record (adfg.alaska.gov)</w:t>
        </w:r>
      </w:hyperlink>
      <w:r>
        <w:t xml:space="preserve">.  </w:t>
      </w:r>
      <w:r>
        <w:t>Official agency closure or disaster records document the action and affected fleet; seasonal and competing-cause limits are explicit.</w:t>
      </w:r>
    </w:p>
    <w:p>
      <w:pPr>
        <w:pStyle w:val="Heading2"/>
      </w:pPr>
      <w:r>
        <w:t>C-228  2023–24 Bering Sea snow crab season closure</w:t>
      </w:r>
    </w:p>
    <w:p>
      <w:pPr>
        <w:keepNext/>
        <w:keepLines/>
      </w:pPr>
      <w:r>
        <w:rPr>
          <w:b/>
        </w:rPr>
        <w:t xml:space="preserve">Why this qualifies.  </w:t>
      </w:r>
      <w:r>
        <w:t>The conservation closure materially denied another season's work to the established fleet and processors.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 2023–24 season. Alaska kept the Bering Sea snow crab commercial fishery closed in 2023–24 to protect the collapsed stock.</w:t>
      </w:r>
    </w:p>
    <w:p>
      <w:pPr>
        <w:keepLines/>
      </w:pPr>
      <w:r>
        <w:rPr>
          <w:b/>
        </w:rPr>
        <w:t xml:space="preserve">Worksite and group record.  </w:t>
      </w:r>
      <w:r>
        <w:t>Established snow-crab vessel owners, captains, crew and processors were denied the legal harvest season; ADF&amp;G and NOAA recognized a fishery disaster.</w:t>
      </w:r>
    </w:p>
    <w:p>
      <w:pPr>
        <w:keepLines/>
      </w:pPr>
      <w:r>
        <w:rPr>
          <w:b/>
        </w:rPr>
        <w:t xml:space="preserve">Causation and legal limits.  </w:t>
      </w:r>
      <w:r>
        <w:t>Underlying biomass collapse is a major competing cause. Disaster funding for affected harvesting, processing and communities must be credited; a stock decline alone is not a government act.</w:t>
      </w:r>
    </w:p>
    <w:p>
      <w:pPr>
        <w:keepLines/>
      </w:pPr>
      <w:r>
        <w:rPr>
          <w:b/>
        </w:rPr>
        <w:t xml:space="preserve">Further event evidence.  </w:t>
      </w:r>
      <w:r>
        <w:t>Compare historical permits and landings, crew and processing employment, and disaster payments to this distinct season.</w:t>
      </w:r>
    </w:p>
    <w:p>
      <w:pPr>
        <w:keepLines/>
        <w:spacing w:after="120"/>
      </w:pPr>
      <w:r>
        <w:rPr>
          <w:b/>
        </w:rPr>
        <w:t xml:space="preserve">Sources and citation check.  </w:t>
      </w:r>
      <w:hyperlink r:id="rId158">
        <w:r>
          <w:rPr>
            <w:color w:val="185B83"/>
            <w:u w:val="single"/>
          </w:rPr>
          <w:t>Bering Sea snow crab season closure (adfg.alaska.gov)</w:t>
        </w:r>
      </w:hyperlink>
      <w:r>
        <w:t xml:space="preserve">; </w:t>
      </w:r>
      <w:hyperlink r:id="rId159">
        <w:r>
          <w:rPr>
            <w:color w:val="185B83"/>
            <w:u w:val="single"/>
          </w:rPr>
          <w:t>Additional legal or source record (adfg.alaska.gov)</w:t>
        </w:r>
      </w:hyperlink>
      <w:r>
        <w:t xml:space="preserve">.  </w:t>
      </w:r>
      <w:r>
        <w:t>Official agency closure or disaster records document the action and affected fleet; seasonal and competing-cause limits are explicit.</w:t>
      </w:r>
    </w:p>
    <w:p>
      <w:pPr>
        <w:pStyle w:val="Heading2"/>
      </w:pPr>
      <w:r>
        <w:t>C-229  2024 central and southern California Dungeness crab season closure</w:t>
      </w:r>
    </w:p>
    <w:p>
      <w:pPr>
        <w:keepNext/>
        <w:keepLines/>
      </w:pPr>
      <w:r>
        <w:rPr>
          <w:b/>
        </w:rPr>
        <w:t xml:space="preserve">Why this qualifies.  </w:t>
      </w:r>
      <w:r>
        <w:t>The whale-protection order ended an established fleet's ordinary harvest opportunity for the remainder of a defined season.</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Department of Fish and Wildlife | April 8, 2024. California closed commercial Dungeness crab fishing in zones 3–6 for the remainder of the 2023–24 season to lower whale entanglement risk.</w:t>
      </w:r>
    </w:p>
    <w:p>
      <w:pPr>
        <w:keepLines/>
      </w:pPr>
      <w:r>
        <w:rPr>
          <w:b/>
        </w:rPr>
        <w:t xml:space="preserve">Worksite and group record.  </w:t>
      </w:r>
      <w:r>
        <w:t>Permitted crab vessels and crews in those zones lost the remaining trap-fishing opportunity and related buyers lost supply.</w:t>
      </w:r>
    </w:p>
    <w:p>
      <w:pPr>
        <w:keepLines/>
      </w:pPr>
      <w:r>
        <w:rPr>
          <w:b/>
        </w:rPr>
        <w:t xml:space="preserve">Causation and legal limits.  </w:t>
      </w:r>
      <w:r>
        <w:t>Earlier landings, other zones and authorized alternative gear narrow the effect; this is a distinct seasonal order from the 2023 closure.</w:t>
      </w:r>
    </w:p>
    <w:p>
      <w:pPr>
        <w:keepLines/>
      </w:pPr>
      <w:r>
        <w:rPr>
          <w:b/>
        </w:rPr>
        <w:t xml:space="preserve">Further event evidence.  </w:t>
      </w:r>
      <w:r>
        <w:t>Measure affected vessel landings, crew days, alternative-gear activity and open-zone work after April 8.</w:t>
      </w:r>
    </w:p>
    <w:p>
      <w:pPr>
        <w:keepLines/>
        <w:spacing w:after="120"/>
      </w:pPr>
      <w:r>
        <w:rPr>
          <w:b/>
        </w:rPr>
        <w:t xml:space="preserve">Sources and citation check.  </w:t>
      </w:r>
      <w:hyperlink r:id="rId160">
        <w:r>
          <w:rPr>
            <w:color w:val="185B83"/>
            <w:u w:val="single"/>
          </w:rPr>
          <w:t>Director's RAMP declaration, commercial fishing zones 3–6 (nrm.dfg.ca.gov)</w:t>
        </w:r>
      </w:hyperlink>
      <w:r>
        <w:t xml:space="preserve">; </w:t>
      </w:r>
      <w:hyperlink r:id="rId161">
        <w:r>
          <w:rPr>
            <w:color w:val="185B83"/>
            <w:u w:val="single"/>
          </w:rPr>
          <w:t>Additional legal or source record (wildlife.ca.gov)</w:t>
        </w:r>
      </w:hyperlink>
      <w:r>
        <w:t xml:space="preserve">.  </w:t>
      </w:r>
      <w:r>
        <w:t>Official agency closure or disaster records document the action and affected fleet; seasonal and competing-cause limits are explicit.</w:t>
      </w:r>
    </w:p>
    <w:p>
      <w:pPr>
        <w:pStyle w:val="Heading2"/>
      </w:pPr>
      <w:r>
        <w:t>C-230  2025 California Dungeness crab season closures</w:t>
      </w:r>
    </w:p>
    <w:p>
      <w:pPr>
        <w:keepNext/>
        <w:keepLines/>
      </w:pPr>
      <w:r>
        <w:rPr>
          <w:b/>
        </w:rPr>
        <w:t xml:space="preserve">Why this qualifies.  </w:t>
      </w:r>
      <w:r>
        <w:t>The sequential conservation orders materially curtailed customary work for the established Dungeness fleet across California's zones.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Department of Fish and Wildlife | April–June 2025. California closed the commercial Dungeness crab fishery in zones 4–6 in April, zone 3 in May, and zones 1–2 in June, to reduce humpback-whale entanglement.</w:t>
      </w:r>
    </w:p>
    <w:p>
      <w:pPr>
        <w:keepLines/>
      </w:pPr>
      <w:r>
        <w:rPr>
          <w:b/>
        </w:rPr>
        <w:t xml:space="preserve">Worksite and group record.  </w:t>
      </w:r>
      <w:r>
        <w:t>Existing crab vessels and crews in the sequentially closed zones lost portions of the 2024–25 season; permit and landing records identify the affected ports.</w:t>
      </w:r>
    </w:p>
    <w:p>
      <w:pPr>
        <w:keepLines/>
      </w:pPr>
      <w:r>
        <w:rPr>
          <w:b/>
        </w:rPr>
        <w:t xml:space="preserve">Causation and legal limits.  </w:t>
      </w:r>
      <w:r>
        <w:t>Closures came at different dates and alternative-gear experiments continued in some areas. Seasonal landings and individual work displacement require measurement.</w:t>
      </w:r>
    </w:p>
    <w:p>
      <w:pPr>
        <w:keepLines/>
      </w:pPr>
      <w:r>
        <w:rPr>
          <w:b/>
        </w:rPr>
        <w:t xml:space="preserve">Further event evidence.  </w:t>
      </w:r>
      <w:r>
        <w:t>Compare each zone's closure date with vessel permits, crew days, landings and alternative-gear permissions.</w:t>
      </w:r>
    </w:p>
    <w:p>
      <w:pPr>
        <w:keepLines/>
        <w:spacing w:after="120"/>
      </w:pPr>
      <w:r>
        <w:rPr>
          <w:b/>
        </w:rPr>
        <w:t xml:space="preserve">Sources and citation check.  </w:t>
      </w:r>
      <w:hyperlink r:id="rId162">
        <w:r>
          <w:rPr>
            <w:color w:val="185B83"/>
            <w:u w:val="single"/>
          </w:rPr>
          <w:t>RAMP commercial fishing zone closure declarations (wildlife.ca.gov)</w:t>
        </w:r>
      </w:hyperlink>
      <w:r>
        <w:t xml:space="preserve">; </w:t>
      </w:r>
      <w:hyperlink r:id="rId163">
        <w:r>
          <w:rPr>
            <w:color w:val="185B83"/>
            <w:u w:val="single"/>
          </w:rPr>
          <w:t>Additional legal or source record (wildlife.ca.gov)</w:t>
        </w:r>
      </w:hyperlink>
      <w:r>
        <w:t xml:space="preserve">.  </w:t>
      </w:r>
      <w:r>
        <w:t>Official agency closure or disaster records document the action and affected fleet; seasonal and competing-cause limits are explicit.</w:t>
      </w:r>
    </w:p>
    <w:p>
      <w:pPr>
        <w:pStyle w:val="Heading2"/>
      </w:pPr>
      <w:r>
        <w:t>C-231  2005 BRAC closure of Marine Corps Support Activity Kansas City</w:t>
      </w:r>
    </w:p>
    <w:p>
      <w:pPr>
        <w:keepNext/>
        <w:keepLines/>
      </w:pPr>
      <w:r>
        <w:rPr>
          <w:b/>
        </w:rPr>
        <w:t xml:space="preserve">Why this qualifies.  </w:t>
      </w:r>
      <w:r>
        <w:t>The federal government closed this defense support activity to advance military efficiency, materially removing the established work of its civilian and contractor staff at that site.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Department of Defense | 2005 decision; operational closure September 15, 2011. The federal BRAC decision closed the Kansas City Marine Corps Support Activity in a nationwide effort to use defense resources efficiently; the Navy confirms its operational closure in September 2011.</w:t>
      </w:r>
    </w:p>
    <w:p>
      <w:pPr>
        <w:keepLines/>
      </w:pPr>
      <w:r>
        <w:rPr>
          <w:b/>
        </w:rPr>
        <w:t xml:space="preserve">Worksite and group record.  </w:t>
      </w:r>
      <w:r>
        <w:t>The 2005 Commission's Defense Department baseline projected a reduction of 139 civilian and three contractor positions at the support activity, affecting its established workforce.</w:t>
      </w:r>
    </w:p>
    <w:p>
      <w:pPr>
        <w:keepLines/>
      </w:pPr>
      <w:r>
        <w:rPr>
          <w:b/>
        </w:rPr>
        <w:t xml:space="preserve">Causation and legal limits.  </w:t>
      </w:r>
      <w:r>
        <w:t>The Commission figures are proposed position changes, not verified individual layoffs; transfers, retirement and later reuse require reconciliation.</w:t>
      </w:r>
    </w:p>
    <w:p>
      <w:pPr>
        <w:keepLines/>
      </w:pPr>
      <w:r>
        <w:rPr>
          <w:b/>
        </w:rPr>
        <w:t xml:space="preserve">Further event evidence.  </w:t>
      </w:r>
      <w:r>
        <w:t>Compare final position and personnel records, separation outcomes and successor employment at the site.</w:t>
      </w:r>
    </w:p>
    <w:p>
      <w:pPr>
        <w:keepLines/>
        <w:spacing w:after="120"/>
      </w:pPr>
      <w:r>
        <w:rPr>
          <w:b/>
        </w:rPr>
        <w:t xml:space="preserve">Sources and citation check.  </w:t>
      </w:r>
      <w:hyperlink r:id="rId164">
        <w:r>
          <w:rPr>
            <w:color w:val="185B83"/>
            <w:u w:val="single"/>
          </w:rPr>
          <w:t>2005 Defense Base Closure and Realignment action (bracpmo.navy.mil)</w:t>
        </w:r>
      </w:hyperlink>
      <w:r>
        <w:t xml:space="preserve">; </w:t>
      </w:r>
      <w:hyperlink r:id="rId154">
        <w:r>
          <w:rPr>
            <w:color w:val="185B83"/>
            <w:u w:val="single"/>
          </w:rPr>
          <w:t>Additional legal or source record (denix.osd.mil)</w:t>
        </w:r>
      </w:hyperlink>
      <w:r>
        <w:t xml:space="preserve">.  </w:t>
      </w:r>
      <w:r>
        <w:t>Navy confirms the 2005 closure decision and 2011 operational end; Commission volume 2, economic-impact table, gives the DOD baseline position projection, not actual separations.</w:t>
      </w:r>
    </w:p>
    <w:p>
      <w:pPr>
        <w:pStyle w:val="Heading2"/>
      </w:pPr>
      <w:r>
        <w:t>C-232  2004 congressional closure of Naval Station Roosevelt Roads</w:t>
      </w:r>
    </w:p>
    <w:p>
      <w:pPr>
        <w:keepNext/>
        <w:keepLines/>
      </w:pPr>
      <w:r>
        <w:rPr>
          <w:b/>
        </w:rPr>
        <w:t xml:space="preserve">Why this qualifies.  </w:t>
      </w:r>
      <w:r>
        <w:t>Congress closed the naval station as part of a broad national defense and training decision, materially ending the work tied to the installation for an established civilian and contractor group.</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Congress and Department of the Navy | March 31, 2004. Congress directed closure of the naval station following the end of training on Vieques, and the Navy closed it in March 2004 as a military infrastructure decision.</w:t>
      </w:r>
    </w:p>
    <w:p>
      <w:pPr>
        <w:keepLines/>
      </w:pPr>
      <w:r>
        <w:rPr>
          <w:b/>
        </w:rPr>
        <w:t xml:space="preserve">Worksite and group record.  </w:t>
      </w:r>
      <w:r>
        <w:t>The installation had an established civilian, contractor and base-dependent service workforce. Navy testimony addressed relocation and outplacement for civilian employees as it carried out the closure; contemporary reporting described substantial lost civilian employment.</w:t>
      </w:r>
    </w:p>
    <w:p>
      <w:pPr>
        <w:keepLines/>
      </w:pPr>
      <w:r>
        <w:rPr>
          <w:b/>
        </w:rPr>
        <w:t xml:space="preserve">Causation and legal limits.  </w:t>
      </w:r>
      <w:r>
        <w:t>Closure and reduced Navy spending were real, but any quoted job total may combine direct, contract and induced positions. Military transfers and later site reuse are not individual civilian job losses.</w:t>
      </w:r>
    </w:p>
    <w:p>
      <w:pPr>
        <w:keepLines/>
      </w:pPr>
      <w:r>
        <w:rPr>
          <w:b/>
        </w:rPr>
        <w:t xml:space="preserve">Further event evidence.  </w:t>
      </w:r>
      <w:r>
        <w:t>Obtain the Navy's final civilian and contract payroll, relocation and separation reports and distinguish indirect local-business losses from base staff.</w:t>
      </w:r>
    </w:p>
    <w:p>
      <w:pPr>
        <w:keepLines/>
        <w:spacing w:after="120"/>
      </w:pPr>
      <w:r>
        <w:rPr>
          <w:b/>
        </w:rPr>
        <w:t xml:space="preserve">Sources and citation check.  </w:t>
      </w:r>
      <w:hyperlink r:id="rId165">
        <w:r>
          <w:rPr>
            <w:color w:val="185B83"/>
            <w:u w:val="single"/>
          </w:rPr>
          <w:t>Section 8132, fiscal 2004 Defense Appropriations Act (bracpmo.navy.mil)</w:t>
        </w:r>
      </w:hyperlink>
      <w:r>
        <w:t xml:space="preserve">; </w:t>
      </w:r>
      <w:hyperlink r:id="rId166">
        <w:r>
          <w:rPr>
            <w:color w:val="185B83"/>
            <w:u w:val="single"/>
          </w:rPr>
          <w:t>Additional legal or source record (everycrsreport.com)</w:t>
        </w:r>
      </w:hyperlink>
      <w:r>
        <w:t xml:space="preserve">.  </w:t>
      </w:r>
      <w:r>
        <w:t>Navy confirms the March 2004 closure; Congressional Research Service identifies the congressional directive in Public Law 108-87. Navy congressional testimony addressed civilian relocation and outplacement; precise losses need personnel evidence.</w:t>
      </w:r>
    </w:p>
    <w:p>
      <w:pPr>
        <w:pStyle w:val="Heading2"/>
      </w:pPr>
      <w:r>
        <w:t>C-233  2015 closure of the primary directed Pacific sardine fishery</w:t>
      </w:r>
    </w:p>
    <w:p>
      <w:pPr>
        <w:keepNext/>
        <w:keepLines/>
      </w:pPr>
      <w:r>
        <w:rPr>
          <w:b/>
        </w:rPr>
        <w:t xml:space="preserve">Why this qualifies.  </w:t>
      </w:r>
      <w:r>
        <w:t>The federal conservation rule closed a formerly productive directed sardine fishery, materially removing that source of income for its existing fleet and processors.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NOAA Fisheries | 2015–16 fishing year. Federal managers closed the primary directed Pacific sardine fishery off Washington, Oregon and California when biomass fell below the conservation cutoff.</w:t>
      </w:r>
    </w:p>
    <w:p>
      <w:pPr>
        <w:keepLines/>
      </w:pPr>
      <w:r>
        <w:rPr>
          <w:b/>
        </w:rPr>
        <w:t xml:space="preserve">Worksite and group record.  </w:t>
      </w:r>
      <w:r>
        <w:t>Existing purse-seine vessels, crews and sardine processors lost the primary directed catch. California's official request reported a 90% lower statewide sardine ex-vessel value in 2015 than its 2010–14 average.</w:t>
      </w:r>
    </w:p>
    <w:p>
      <w:pPr>
        <w:keepLines/>
      </w:pPr>
      <w:r>
        <w:rPr>
          <w:b/>
        </w:rPr>
        <w:t xml:space="preserve">Causation and legal limits.  </w:t>
      </w:r>
      <w:r>
        <w:t>The natural biomass fall is a strong competing cause; live-bait, minor directed and incidental catch remained legal and some vessels switched species. Do not label total revenue decline as caused only by the closure.</w:t>
      </w:r>
    </w:p>
    <w:p>
      <w:pPr>
        <w:keepLines/>
      </w:pPr>
      <w:r>
        <w:rPr>
          <w:b/>
        </w:rPr>
        <w:t xml:space="preserve">Further event evidence.  </w:t>
      </w:r>
      <w:r>
        <w:t>Compare vessel-level past sardine revenue and gear permits to subsequent catch, other species, processing activity and disaster aid.</w:t>
      </w:r>
    </w:p>
    <w:p>
      <w:pPr>
        <w:keepLines/>
        <w:spacing w:after="120"/>
      </w:pPr>
      <w:r>
        <w:rPr>
          <w:b/>
        </w:rPr>
        <w:t xml:space="preserve">Sources and citation check.  </w:t>
      </w:r>
      <w:hyperlink r:id="rId167">
        <w:r>
          <w:rPr>
            <w:color w:val="185B83"/>
            <w:u w:val="single"/>
          </w:rPr>
          <w:t>Pacific sardine annual specification and harvest cutoff (fisheries.noaa.gov)</w:t>
        </w:r>
      </w:hyperlink>
      <w:r>
        <w:t xml:space="preserve">; </w:t>
      </w:r>
      <w:hyperlink r:id="rId168">
        <w:r>
          <w:rPr>
            <w:color w:val="185B83"/>
            <w:u w:val="single"/>
          </w:rPr>
          <w:t>Additional legal or source record (media.fisheries.noaa.gov)</w:t>
        </w:r>
      </w:hyperlink>
      <w:r>
        <w:t xml:space="preserve">.  </w:t>
      </w:r>
      <w:r>
        <w:t>NOAA identifies the initial 2015–16 closure; California's request reports ex-vessel impact and exceptions. Natural depletion and government restriction must be separated.</w:t>
      </w:r>
    </w:p>
    <w:p>
      <w:pPr>
        <w:pStyle w:val="Heading2"/>
      </w:pPr>
      <w:r>
        <w:t>C-234  2021 Upper Cook Inlet East Side setnet restrictions</w:t>
      </w:r>
    </w:p>
    <w:p>
      <w:pPr>
        <w:keepNext/>
        <w:keepLines/>
      </w:pPr>
      <w:r>
        <w:rPr>
          <w:b/>
        </w:rPr>
        <w:t xml:space="preserve">Why this qualifies.  </w:t>
      </w:r>
      <w:r>
        <w:t>Alaska constrained an established setnet fleet's 2021 earning season for salmon conservation, materially affecting its operators and crews.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 2021 season. Alaska restricted East Side setnet sockeye harvest in the 2021 season to conserve weak Kenai River Chinook salmon.</w:t>
      </w:r>
    </w:p>
    <w:p>
      <w:pPr>
        <w:keepLines/>
      </w:pPr>
      <w:r>
        <w:rPr>
          <w:b/>
        </w:rPr>
        <w:t xml:space="preserve">Worksite and group record.  </w:t>
      </w:r>
      <w:r>
        <w:t>Established East Side setnet permit holders, crew and dependent processors had fewer legal harvest opportunities; the State and NOAA later identified the 2021 fishery for disaster assistance.</w:t>
      </w:r>
    </w:p>
    <w:p>
      <w:pPr>
        <w:keepLines/>
      </w:pPr>
      <w:r>
        <w:rPr>
          <w:b/>
        </w:rPr>
        <w:t xml:space="preserve">Causation and legal limits.  </w:t>
      </w:r>
      <w:r>
        <w:t>Weak Chinook returns are an independent ecological cause; the legal fishing restrictions imposed a distinct burden, and subsequent disaster aid offsets losses.</w:t>
      </w:r>
    </w:p>
    <w:p>
      <w:pPr>
        <w:keepLines/>
      </w:pPr>
      <w:r>
        <w:rPr>
          <w:b/>
        </w:rPr>
        <w:t xml:space="preserve">Further event evidence.  </w:t>
      </w:r>
      <w:r>
        <w:t>Reconcile each 2021 inseason order and opening with permit, landing and aid records.</w:t>
      </w:r>
    </w:p>
    <w:p>
      <w:pPr>
        <w:keepLines/>
        <w:spacing w:after="120"/>
      </w:pPr>
      <w:r>
        <w:rPr>
          <w:b/>
        </w:rPr>
        <w:t xml:space="preserve">Sources and citation check.  </w:t>
      </w:r>
      <w:hyperlink r:id="rId169">
        <w:r>
          <w:rPr>
            <w:color w:val="185B83"/>
            <w:u w:val="single"/>
          </w:rPr>
          <w:t>Alaska salmon conservation restrictions (adfg.alaska.gov)</w:t>
        </w:r>
      </w:hyperlink>
      <w:r>
        <w:t xml:space="preserve">; </w:t>
      </w:r>
      <w:hyperlink r:id="rId170">
        <w:r>
          <w:rPr>
            <w:color w:val="185B83"/>
            <w:u w:val="single"/>
          </w:rPr>
          <w:t>Additional legal or source record (adfg.alaska.gov)</w:t>
        </w:r>
      </w:hyperlink>
      <w:r>
        <w:t xml:space="preserve">.  </w:t>
      </w:r>
      <w:r>
        <w:t>State request attributes reduced 2021 setnet opportunity to Chinook conservation restrictions; NOAA disaster determination confirms affected fishery, not a count of separations.</w:t>
      </w:r>
    </w:p>
    <w:p>
      <w:pPr>
        <w:pStyle w:val="Heading2"/>
      </w:pPr>
      <w:r>
        <w:t>C-235  2022 Upper Cook Inlet East Side setnet closure</w:t>
      </w:r>
    </w:p>
    <w:p>
      <w:pPr>
        <w:keepNext/>
        <w:keepLines/>
      </w:pPr>
      <w:r>
        <w:rPr>
          <w:b/>
        </w:rPr>
        <w:t xml:space="preserve">Why this qualifies.  </w:t>
      </w:r>
      <w:r>
        <w:t>The July state conservation closure materially cut an existing setnet fleet's remaining fishing opportunity and associated crew work.</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 July 16, 2022 and season restrictions. Alaska closed set gillnet fishing in the Kenai, Kasilof and East Forelands sections in July 2022 under Chinook conservation measures.</w:t>
      </w:r>
    </w:p>
    <w:p>
      <w:pPr>
        <w:keepLines/>
      </w:pPr>
      <w:r>
        <w:rPr>
          <w:b/>
        </w:rPr>
        <w:t xml:space="preserve">Worksite and group record.  </w:t>
      </w:r>
      <w:r>
        <w:t>Existing East Side setnet operators and crews lost legal fishing periods during their seasonal livelihood; 2022 was included in a subsequent federal fishery-disaster determination.</w:t>
      </w:r>
    </w:p>
    <w:p>
      <w:pPr>
        <w:keepLines/>
      </w:pPr>
      <w:r>
        <w:rPr>
          <w:b/>
        </w:rPr>
        <w:t xml:space="preserve">Causation and legal limits.  </w:t>
      </w:r>
      <w:r>
        <w:t>Earlier 2022 openings, natural run weakness and later disaster aid change the net effect; do not treat the whole year as closed by the July order.</w:t>
      </w:r>
    </w:p>
    <w:p>
      <w:pPr>
        <w:keepLines/>
      </w:pPr>
      <w:r>
        <w:rPr>
          <w:b/>
        </w:rPr>
        <w:t xml:space="preserve">Further event evidence.  </w:t>
      </w:r>
      <w:r>
        <w:t>Match dates and sections of all 2022 orders with permit landings, crew records and disaster disbursements.</w:t>
      </w:r>
    </w:p>
    <w:p>
      <w:pPr>
        <w:keepLines/>
        <w:spacing w:after="120"/>
      </w:pPr>
      <w:r>
        <w:rPr>
          <w:b/>
        </w:rPr>
        <w:t xml:space="preserve">Sources and citation check.  </w:t>
      </w:r>
      <w:hyperlink r:id="rId171">
        <w:r>
          <w:rPr>
            <w:color w:val="185B83"/>
            <w:u w:val="single"/>
          </w:rPr>
          <w:t>Emergency Order 2S-18-22 (adfg.alaska.gov)</w:t>
        </w:r>
      </w:hyperlink>
      <w:r>
        <w:t xml:space="preserve">; </w:t>
      </w:r>
      <w:hyperlink r:id="rId170">
        <w:r>
          <w:rPr>
            <w:color w:val="185B83"/>
            <w:u w:val="single"/>
          </w:rPr>
          <w:t>Additional legal or source record (adfg.alaska.gov)</w:t>
        </w:r>
      </w:hyperlink>
      <w:r>
        <w:t xml:space="preserve">.  </w:t>
      </w:r>
      <w:r>
        <w:t>ADF&amp;G order names the restricted sections and date; NOAA identifies the 2022 fishery disaster. Prior openings are a limit.</w:t>
      </w:r>
    </w:p>
    <w:p>
      <w:pPr>
        <w:pStyle w:val="Heading2"/>
      </w:pPr>
      <w:r>
        <w:t>C-236  2023 Upper Cook Inlet East Side setnet season closure</w:t>
      </w:r>
    </w:p>
    <w:p>
      <w:pPr>
        <w:keepNext/>
        <w:keepLines/>
      </w:pPr>
      <w:r>
        <w:rPr>
          <w:b/>
        </w:rPr>
        <w:t xml:space="preserve">Why this qualifies.  </w:t>
      </w:r>
      <w:r>
        <w:t>The state conservation closure removed the entire scheduled East Side setnet season for an established fleet, imposing a material income and work loss.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 March 9, 2023 through season. Alaska closed East Side commercial set gillnet salmon fishing before the 2023 season to protect Kenai River king salmon; its season report states this fishery did not open that year.</w:t>
      </w:r>
    </w:p>
    <w:p>
      <w:pPr>
        <w:keepLines/>
      </w:pPr>
      <w:r>
        <w:rPr>
          <w:b/>
        </w:rPr>
        <w:t xml:space="preserve">Worksite and group record.  </w:t>
      </w:r>
      <w:r>
        <w:t>Existing setnet permit holders and crews lost that entire 2023 fishing opportunity, and the closure also reduced sockeye deliveries to dependent processors.</w:t>
      </w:r>
    </w:p>
    <w:p>
      <w:pPr>
        <w:keepLines/>
      </w:pPr>
      <w:r>
        <w:rPr>
          <w:b/>
        </w:rPr>
        <w:t xml:space="preserve">Causation and legal limits.  </w:t>
      </w:r>
      <w:r>
        <w:t>The Chinook conservation problem is a competing cause and federal disaster assistance later addressed some losses; other fisheries and jobs need separate measurement.</w:t>
      </w:r>
    </w:p>
    <w:p>
      <w:pPr>
        <w:keepLines/>
      </w:pPr>
      <w:r>
        <w:rPr>
          <w:b/>
        </w:rPr>
        <w:t xml:space="preserve">Further event evidence.  </w:t>
      </w:r>
      <w:r>
        <w:t>Use 2023 permits and past landings, crew payroll and processor purchases to measure the affected group net of aid.</w:t>
      </w:r>
    </w:p>
    <w:p>
      <w:pPr>
        <w:keepLines/>
        <w:spacing w:after="120"/>
      </w:pPr>
      <w:r>
        <w:rPr>
          <w:b/>
        </w:rPr>
        <w:t xml:space="preserve">Sources and citation check.  </w:t>
      </w:r>
      <w:hyperlink r:id="rId172">
        <w:r>
          <w:rPr>
            <w:color w:val="185B83"/>
            <w:u w:val="single"/>
          </w:rPr>
          <w:t>Emergency Order 2S-1-23 (adfg.alaska.gov)</w:t>
        </w:r>
      </w:hyperlink>
      <w:r>
        <w:t xml:space="preserve">; </w:t>
      </w:r>
      <w:hyperlink r:id="rId173">
        <w:r>
          <w:rPr>
            <w:color w:val="185B83"/>
            <w:u w:val="single"/>
          </w:rPr>
          <w:t>Additional legal or source record (adfg.alaska.gov)</w:t>
        </w:r>
      </w:hyperlink>
      <w:r>
        <w:t xml:space="preserve">.  </w:t>
      </w:r>
      <w:r>
        <w:t>ADF&amp;G's emergency order and annual report establish a full-season failure to open; NOAA later recognized a 2023 disaster.</w:t>
      </w:r>
    </w:p>
    <w:p>
      <w:pPr>
        <w:pStyle w:val="Heading2"/>
      </w:pPr>
      <w:r>
        <w:t>C-237  2024 Upper Cook Inlet East Side setnet season closure</w:t>
      </w:r>
    </w:p>
    <w:p>
      <w:pPr>
        <w:keepNext/>
        <w:keepLines/>
      </w:pPr>
      <w:r>
        <w:rPr>
          <w:b/>
        </w:rPr>
        <w:t xml:space="preserve">Why this qualifies.  </w:t>
      </w:r>
      <w:r>
        <w:t>Alaska's 2024 conservation order kept an established setnet fleet out of its regular season, materially removing its seasonal earning opportunity.</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Alaska Department of Fish and Game | April 12–August 15, 2024. Alaska closed the East Side setnet fishery before the 2024 season for Kenai king salmon conservation; the agency's season report says it remained closed through August 15.</w:t>
      </w:r>
    </w:p>
    <w:p>
      <w:pPr>
        <w:keepLines/>
      </w:pPr>
      <w:r>
        <w:rPr>
          <w:b/>
        </w:rPr>
        <w:t xml:space="preserve">Worksite and group record.  </w:t>
      </w:r>
      <w:r>
        <w:t>Established East Side setnet operators and crews lost a second full season of this fishing activity; other Upper Cook Inlet fleets still harvested salmon.</w:t>
      </w:r>
    </w:p>
    <w:p>
      <w:pPr>
        <w:keepLines/>
      </w:pPr>
      <w:r>
        <w:rPr>
          <w:b/>
        </w:rPr>
        <w:t xml:space="preserve">Causation and legal limits.  </w:t>
      </w:r>
      <w:r>
        <w:t>Poor king salmon forecasts prompted the order, and broader Upper Cook Inlet ex-vessel results are not this fleet's actual lost earnings. Any later aid and alternative work require accounting.</w:t>
      </w:r>
    </w:p>
    <w:p>
      <w:pPr>
        <w:keepLines/>
      </w:pPr>
      <w:r>
        <w:rPr>
          <w:b/>
        </w:rPr>
        <w:t xml:space="preserve">Further event evidence.  </w:t>
      </w:r>
      <w:r>
        <w:t>Compare 2024 permit and crew records to earlier years, separate other fleets and verify later assistance.</w:t>
      </w:r>
    </w:p>
    <w:p>
      <w:pPr>
        <w:keepLines/>
        <w:spacing w:after="120"/>
      </w:pPr>
      <w:r>
        <w:rPr>
          <w:b/>
        </w:rPr>
        <w:t xml:space="preserve">Sources and citation check.  </w:t>
      </w:r>
      <w:hyperlink r:id="rId174">
        <w:r>
          <w:rPr>
            <w:color w:val="185B83"/>
            <w:u w:val="single"/>
          </w:rPr>
          <w:t>Emergency Order 2-F-H-2-24 (adfg.alaska.gov)</w:t>
        </w:r>
      </w:hyperlink>
      <w:r>
        <w:t xml:space="preserve">; </w:t>
      </w:r>
      <w:hyperlink r:id="rId175">
        <w:r>
          <w:rPr>
            <w:color w:val="185B83"/>
            <w:u w:val="single"/>
          </w:rPr>
          <w:t>Additional legal or source record (adfg.alaska.gov)</w:t>
        </w:r>
      </w:hyperlink>
      <w:r>
        <w:t xml:space="preserve">.  </w:t>
      </w:r>
      <w:r>
        <w:t>ADF&amp;G order and season summary establish its date, full-season duration and targeted sections.</w:t>
      </w:r>
    </w:p>
    <w:p>
      <w:pPr>
        <w:pStyle w:val="Heading2"/>
      </w:pPr>
      <w:r>
        <w:t>C-238  2016 FDA consumer antibacterial-wash ingredient rule</w:t>
      </w:r>
    </w:p>
    <w:p>
      <w:pPr>
        <w:keepNext/>
        <w:keepLines/>
      </w:pPr>
      <w:r>
        <w:rPr>
          <w:b/>
        </w:rPr>
        <w:t xml:space="preserve">Why this qualifies.  </w:t>
      </w:r>
      <w:r>
        <w:t>FDA restricted an established antibacterial-wash market for health reasons, imposing material product-line and reformulation costs on the firms that supplied it.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Food and Drug Administration | September 6, 2017 compliance. FDA determined 19 active ingredients, including triclosan and triclocarban, could no longer be marketed without drug approval in ordinary consumer antiseptic washes to protect public health.</w:t>
      </w:r>
    </w:p>
    <w:p>
      <w:pPr>
        <w:keepLines/>
      </w:pPr>
      <w:r>
        <w:rPr>
          <w:b/>
        </w:rPr>
        <w:t xml:space="preserve">Worksite and group record.  </w:t>
      </w:r>
      <w:r>
        <w:t>Affected wash makers, ingredient suppliers and private-label firms had to reformulate, relabel, obtain approvals or withdraw products. FDA modeled 2,093 affected product codes, one-time relabeling costs of $18.9–$53.4 million and potentially substantial reformulation costs.</w:t>
      </w:r>
    </w:p>
    <w:p>
      <w:pPr>
        <w:keepLines/>
      </w:pPr>
      <w:r>
        <w:rPr>
          <w:b/>
        </w:rPr>
        <w:t xml:space="preserve">Causation and legal limits.  </w:t>
      </w:r>
      <w:r>
        <w:t>Some companies anticipated the rule and voluntarily changed formulas; replacement soaps can preserve sales and work. The model is not a realized net-income or job-loss total.</w:t>
      </w:r>
    </w:p>
    <w:p>
      <w:pPr>
        <w:keepLines/>
      </w:pPr>
      <w:r>
        <w:rPr>
          <w:b/>
        </w:rPr>
        <w:t xml:space="preserve">Further event evidence.  </w:t>
      </w:r>
      <w:r>
        <w:t>Identify the affected SKUs and ingredient suppliers and compare actual conversion, discontinued lines and cost against pre-rule baselines.</w:t>
      </w:r>
    </w:p>
    <w:p>
      <w:pPr>
        <w:keepLines/>
        <w:spacing w:after="120"/>
      </w:pPr>
      <w:r>
        <w:rPr>
          <w:b/>
        </w:rPr>
        <w:t xml:space="preserve">Sources and citation check.  </w:t>
      </w:r>
      <w:hyperlink r:id="rId176">
        <w:r>
          <w:rPr>
            <w:color w:val="185B83"/>
            <w:u w:val="single"/>
          </w:rPr>
          <w:t>Consumer Antiseptic Wash Final Rule, 81 FR 61106 (fda.gov)</w:t>
        </w:r>
      </w:hyperlink>
      <w:r>
        <w:t xml:space="preserve">; </w:t>
      </w:r>
      <w:hyperlink r:id="rId177">
        <w:r>
          <w:rPr>
            <w:color w:val="185B83"/>
            <w:u w:val="single"/>
          </w:rPr>
          <w:t>Additional legal or source record (fda.gov)</w:t>
        </w:r>
      </w:hyperlink>
      <w:r>
        <w:t xml:space="preserve">.  </w:t>
      </w:r>
      <w:r>
        <w:t>FDA final rule and its impact analysis establish the legal market change, product count and estimated compliance costs; realization varies by firm.</w:t>
      </w:r>
    </w:p>
    <w:p>
      <w:pPr>
        <w:pStyle w:val="Heading2"/>
      </w:pPr>
      <w:r>
        <w:t>C-239  2019 FDA consumer antiseptic-rub ingredient rule</w:t>
      </w:r>
    </w:p>
    <w:p>
      <w:pPr>
        <w:keepNext/>
        <w:keepLines/>
      </w:pPr>
      <w:r>
        <w:rPr>
          <w:b/>
        </w:rPr>
        <w:t xml:space="preserve">Why this qualifies.  </w:t>
      </w:r>
      <w:r>
        <w:t>The federal health rule removed a defined set of formerly marketed sanitizer ingredients and imposed material product changes on the firms using them.</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Food and Drug Administration | April 2019 rule; one-year compliance. FDA made 28 active ingredients in nonprescription consumer antiseptic rubs ineligible for marketing through the OTC monograph, requiring drug approval or a change to the affected sanitizer and wipe products.</w:t>
      </w:r>
    </w:p>
    <w:p>
      <w:pPr>
        <w:keepLines/>
      </w:pPr>
      <w:r>
        <w:rPr>
          <w:b/>
        </w:rPr>
        <w:t xml:space="preserve">Worksite and group record.  </w:t>
      </w:r>
      <w:r>
        <w:t>Existing makers of the covered products had to reformulate, relabel or discontinue them. FDA modeled about $1.07–$2.50 million in aggregate one-time reformulation and labeling costs for the affected product cohort.</w:t>
      </w:r>
    </w:p>
    <w:p>
      <w:pPr>
        <w:keepLines/>
      </w:pPr>
      <w:r>
        <w:rPr>
          <w:b/>
        </w:rPr>
        <w:t xml:space="preserve">Causation and legal limits.  </w:t>
      </w:r>
      <w:r>
        <w:t>Ethyl alcohol, isopropyl alcohol and benzalkonium chloride were deferred and were not banned by this rule. The impact model is prospective; alternatives and other product lines limit net harm.</w:t>
      </w:r>
    </w:p>
    <w:p>
      <w:pPr>
        <w:keepLines/>
      </w:pPr>
      <w:r>
        <w:rPr>
          <w:b/>
        </w:rPr>
        <w:t xml:space="preserve">Further event evidence.  </w:t>
      </w:r>
      <w:r>
        <w:t>Match actual product lists and ingredient use to the covered 28 ingredients, then verify realized costs and displaced sales.</w:t>
      </w:r>
    </w:p>
    <w:p>
      <w:pPr>
        <w:keepLines/>
        <w:spacing w:after="120"/>
      </w:pPr>
      <w:r>
        <w:rPr>
          <w:b/>
        </w:rPr>
        <w:t xml:space="preserve">Sources and citation check.  </w:t>
      </w:r>
      <w:hyperlink r:id="rId178">
        <w:r>
          <w:rPr>
            <w:color w:val="185B83"/>
            <w:u w:val="single"/>
          </w:rPr>
          <w:t>Consumer Antiseptic Rub Final Rule, 84 FR 14847 (fda.gov)</w:t>
        </w:r>
      </w:hyperlink>
      <w:r>
        <w:t xml:space="preserve">; </w:t>
      </w:r>
      <w:hyperlink r:id="rId179">
        <w:r>
          <w:rPr>
            <w:color w:val="185B83"/>
            <w:u w:val="single"/>
          </w:rPr>
          <w:t>Additional legal or source record (fda.gov)</w:t>
        </w:r>
      </w:hyperlink>
      <w:r>
        <w:t xml:space="preserve">.  </w:t>
      </w:r>
      <w:r>
        <w:t>FDA guidance identifies the final monograph decision; FDA impact analysis identifies affected products and modeled costs while excluding deferred common ingredients.</w:t>
      </w:r>
    </w:p>
    <w:p>
      <w:pPr>
        <w:pStyle w:val="Heading2"/>
      </w:pPr>
      <w:r>
        <w:t>C-240  2024 FDA brominated-vegetable-oil food-use revocation</w:t>
      </w:r>
    </w:p>
    <w:p>
      <w:pPr>
        <w:keepNext/>
        <w:keepLines/>
      </w:pPr>
      <w:r>
        <w:rPr>
          <w:b/>
        </w:rPr>
        <w:t xml:space="preserve">Why this qualifies.  </w:t>
      </w:r>
      <w:r>
        <w:t>FDA ended a previously lawful food-ingredient use for public health, directly forcing the remaining small group of user firms to replace formulas and labels at material cost.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Food and Drug Administration | August 2, 2024 effective; transition period. FDA revoked permission to use brominated vegetable oil as a stabilizer in food after concluding the available evidence no longer supported its safety.</w:t>
      </w:r>
    </w:p>
    <w:p>
      <w:pPr>
        <w:keepLines/>
      </w:pPr>
      <w:r>
        <w:rPr>
          <w:b/>
        </w:rPr>
        <w:t xml:space="preserve">Worksite and group record.  </w:t>
      </w:r>
      <w:r>
        <w:t>A small cohort of beverage and flavor-concentrate makers still used BVO. FDA's analysis found eight parent companies with confirmed use in 2021 and modeled $6.6–$16.4 million in first-year industry reformulation and relabeling costs, much of which could be passed on.</w:t>
      </w:r>
    </w:p>
    <w:p>
      <w:pPr>
        <w:keepLines/>
      </w:pPr>
      <w:r>
        <w:rPr>
          <w:b/>
        </w:rPr>
        <w:t xml:space="preserve">Causation and legal limits.  </w:t>
      </w:r>
      <w:r>
        <w:t>Most large beverage makers had already switched voluntarily; FDA expected low incremental long-run costs and replacement formulas. Model costs cannot be assumed to be job losses or a material net loss for each firm.</w:t>
      </w:r>
    </w:p>
    <w:p>
      <w:pPr>
        <w:keepLines/>
      </w:pPr>
      <w:r>
        <w:rPr>
          <w:b/>
        </w:rPr>
        <w:t xml:space="preserve">Further event evidence.  </w:t>
      </w:r>
      <w:r>
        <w:t>Verify affected 2024–25 products, actual formula and label expenditure, cost pass-through and discontinued lines for the remaining users.</w:t>
      </w:r>
    </w:p>
    <w:p>
      <w:pPr>
        <w:keepLines/>
        <w:spacing w:after="120"/>
      </w:pPr>
      <w:r>
        <w:rPr>
          <w:b/>
        </w:rPr>
        <w:t xml:space="preserve">Sources and citation check.  </w:t>
      </w:r>
      <w:hyperlink r:id="rId180">
        <w:r>
          <w:rPr>
            <w:color w:val="185B83"/>
            <w:u w:val="single"/>
          </w:rPr>
          <w:t>Final rule revoking 21 CFR 180.30, 89 FR 55040 (fda.gov)</w:t>
        </w:r>
      </w:hyperlink>
      <w:r>
        <w:t xml:space="preserve">; </w:t>
      </w:r>
      <w:hyperlink r:id="rId181">
        <w:r>
          <w:rPr>
            <w:color w:val="185B83"/>
            <w:u w:val="single"/>
          </w:rPr>
          <w:t>Additional legal or source record (fda.gov)</w:t>
        </w:r>
      </w:hyperlink>
      <w:r>
        <w:t xml:space="preserve">.  </w:t>
      </w:r>
      <w:r>
        <w:t>FDA confirms the final revocation and timing; its final impact analysis estimates eight confirmed user companies in 2021 and a modeled first-year cost range, not actual layoffs.</w:t>
      </w:r>
    </w:p>
    <w:p>
      <w:pPr>
        <w:pStyle w:val="Heading2"/>
      </w:pPr>
      <w:r>
        <w:t>C-241  2019 California retail pet-store sourcing ban</w:t>
      </w:r>
    </w:p>
    <w:p>
      <w:pPr>
        <w:keepNext/>
        <w:keepLines/>
      </w:pPr>
      <w:r>
        <w:rPr>
          <w:b/>
        </w:rPr>
        <w:t xml:space="preserve">Why this qualifies.  </w:t>
      </w:r>
      <w:r>
        <w:t>California pursued animal welfare by ending breeder-sourced pet sales in existing stores, materially restricting the stores and suppliers that depended on that trade.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California | January 1, 2019. California required retail shops selling dogs, cats or rabbits to source them from shelters and rescue groups, ending ordinary breeder-sourced store sales to reduce puppy-mill harm.</w:t>
      </w:r>
    </w:p>
    <w:p>
      <w:pPr>
        <w:keepLines/>
      </w:pPr>
      <w:r>
        <w:rPr>
          <w:b/>
        </w:rPr>
        <w:t xml:space="preserve">Worksite and group record.  </w:t>
      </w:r>
      <w:r>
        <w:t>Pet stores that had relied on breeder-sourced animals and their suppliers lost that lawful retail channel; 2020 legislation later closed a remaining loophole. Store workers' overall job outcome requires store-level evidence.</w:t>
      </w:r>
    </w:p>
    <w:p>
      <w:pPr>
        <w:keepLines/>
      </w:pPr>
      <w:r>
        <w:rPr>
          <w:b/>
        </w:rPr>
        <w:t xml:space="preserve">Causation and legal limits.  </w:t>
      </w:r>
      <w:r>
        <w:t>Shelter/rescue placements, other pet products, direct breeder sales and a later amendment may offset or alter each business's material loss; do not assume every pet store was affected.</w:t>
      </w:r>
    </w:p>
    <w:p>
      <w:pPr>
        <w:keepLines/>
      </w:pPr>
      <w:r>
        <w:rPr>
          <w:b/>
        </w:rPr>
        <w:t xml:space="preserve">Further event evidence.  </w:t>
      </w:r>
      <w:r>
        <w:t>Match pre-2019 retail sales and supplier contracts to post-law activity and identify shops with a materially lost animal-sales line.</w:t>
      </w:r>
    </w:p>
    <w:p>
      <w:pPr>
        <w:keepLines/>
        <w:spacing w:after="120"/>
      </w:pPr>
      <w:r>
        <w:rPr>
          <w:b/>
        </w:rPr>
        <w:t xml:space="preserve">Sources and citation check.  </w:t>
      </w:r>
      <w:hyperlink r:id="rId182">
        <w:r>
          <w:rPr>
            <w:color w:val="185B83"/>
            <w:u w:val="single"/>
          </w:rPr>
          <w:t>AB 485, 2017 Statutes chapter 740 (leginfo.legislature.ca.gov)</w:t>
        </w:r>
      </w:hyperlink>
      <w:r>
        <w:t xml:space="preserve">; </w:t>
      </w:r>
      <w:hyperlink r:id="rId183">
        <w:r>
          <w:rPr>
            <w:color w:val="185B83"/>
            <w:u w:val="single"/>
          </w:rPr>
          <w:t>Additional legal or source record (gov.ca.gov)</w:t>
        </w:r>
      </w:hyperlink>
      <w:r>
        <w:t xml:space="preserve">.  </w:t>
      </w:r>
      <w:r>
        <w:t>The chaptered 2017 statute and Governor's later summary establish the 2019 breeder-source restriction and 2020 tightening; impact by store remains to verify.</w:t>
      </w:r>
    </w:p>
    <w:p>
      <w:pPr>
        <w:pStyle w:val="Heading2"/>
      </w:pPr>
      <w:r>
        <w:t>C-242  2020 Maryland retail dog and cat sale ban</w:t>
      </w:r>
    </w:p>
    <w:p>
      <w:pPr>
        <w:keepNext/>
        <w:keepLines/>
      </w:pPr>
      <w:r>
        <w:rPr>
          <w:b/>
        </w:rPr>
        <w:t xml:space="preserve">Why this qualifies.  </w:t>
      </w:r>
      <w:r>
        <w:t>Maryland ended an established pet-store trade to protect animals, materially reducing the covered sales of existing shops and their supplier channel.</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Maryland | January 1, 2020. Maryland prohibited retail pet stores from selling or otherwise transferring dogs and cats to address puppy- and kitten-mill harms, after a delayed implementation period.</w:t>
      </w:r>
    </w:p>
    <w:p>
      <w:pPr>
        <w:keepLines/>
      </w:pPr>
      <w:r>
        <w:rPr>
          <w:b/>
        </w:rPr>
        <w:t xml:space="preserve">Worksite and group record.  </w:t>
      </w:r>
      <w:r>
        <w:t>Existing pet shops selling cats and dogs lost their covered sales and supplying breeders lost a retail customer. The legislature's fiscal and policy note expressly anticipates lower taxable sales and a lost customer for small breeders.</w:t>
      </w:r>
    </w:p>
    <w:p>
      <w:pPr>
        <w:keepLines/>
      </w:pPr>
      <w:r>
        <w:rPr>
          <w:b/>
        </w:rPr>
        <w:t xml:space="preserve">Causation and legal limits.  </w:t>
      </w:r>
      <w:r>
        <w:t>Direct sales from breeders and shelter displays may continue; some stores did not sell covered animals and pet supplies remain. Actual firm and worker losses require transaction records.</w:t>
      </w:r>
    </w:p>
    <w:p>
      <w:pPr>
        <w:keepLines/>
      </w:pPr>
      <w:r>
        <w:rPr>
          <w:b/>
        </w:rPr>
        <w:t xml:space="preserve">Further event evidence.  </w:t>
      </w:r>
      <w:r>
        <w:t>Identify pre-ban retail pet licenses and sales, breeder contracts and post-ban animal sales or adoption arrangements.</w:t>
      </w:r>
    </w:p>
    <w:p>
      <w:pPr>
        <w:keepLines/>
        <w:spacing w:after="120"/>
      </w:pPr>
      <w:r>
        <w:rPr>
          <w:b/>
        </w:rPr>
        <w:t xml:space="preserve">Sources and citation check.  </w:t>
      </w:r>
      <w:hyperlink r:id="rId184">
        <w:r>
          <w:rPr>
            <w:color w:val="185B83"/>
            <w:u w:val="single"/>
          </w:rPr>
          <w:t>No More Puppy- and Kitten-Mills Act of 2018, chapter 237 (mgaleg.maryland.gov)</w:t>
        </w:r>
      </w:hyperlink>
      <w:r>
        <w:t xml:space="preserve">; </w:t>
      </w:r>
      <w:hyperlink r:id="rId185">
        <w:r>
          <w:rPr>
            <w:color w:val="185B83"/>
            <w:u w:val="single"/>
          </w:rPr>
          <w:t>Additional legal or source record (mgaleg.maryland.gov)</w:t>
        </w:r>
      </w:hyperlink>
      <w:r>
        <w:t xml:space="preserve">.  </w:t>
      </w:r>
      <w:r>
        <w:t>Enacted law gives the restriction and delayed date; legislative fiscal note describes lost retail sales and breeder channels without proving a specific store closure.</w:t>
      </w:r>
    </w:p>
    <w:p>
      <w:pPr>
        <w:pStyle w:val="Heading2"/>
      </w:pPr>
      <w:r>
        <w:t>C-243  2024 New York pet-store sale ban</w:t>
      </w:r>
    </w:p>
    <w:p>
      <w:pPr>
        <w:keepNext/>
        <w:keepLines/>
      </w:pPr>
      <w:r>
        <w:rPr>
          <w:b/>
        </w:rPr>
        <w:t xml:space="preserve">Why this qualifies.  </w:t>
      </w:r>
      <w:r>
        <w:t>New York's animal-welfare law cut off a lawful animal-sales line for an existing, identifiable group of retail pet dealers.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York State | December 15, 2024. New York barred pet stores from selling dogs, cats and rabbits statewide to stop the puppy-mill supply chain.</w:t>
      </w:r>
    </w:p>
    <w:p>
      <w:pPr>
        <w:keepLines/>
      </w:pPr>
      <w:r>
        <w:rPr>
          <w:b/>
        </w:rPr>
        <w:t xml:space="preserve">Worksite and group record.  </w:t>
      </w:r>
      <w:r>
        <w:t>Existing licensed pet dealers with retail stores lost the legal sale of those animals; the Attorney General sent a pre-effective-date notice to affected dealers and later described enforcement against a named pre-existing shop.</w:t>
      </w:r>
    </w:p>
    <w:p>
      <w:pPr>
        <w:keepLines/>
      </w:pPr>
      <w:r>
        <w:rPr>
          <w:b/>
        </w:rPr>
        <w:t xml:space="preserve">Causation and legal limits.  </w:t>
      </w:r>
      <w:r>
        <w:t>Animal adoptions and other pet products may continue; post-effective illegal sales are not compensable lawful work. Do not infer every licensed dealer or employee lost a primary income source.</w:t>
      </w:r>
    </w:p>
    <w:p>
      <w:pPr>
        <w:keepLines/>
      </w:pPr>
      <w:r>
        <w:rPr>
          <w:b/>
        </w:rPr>
        <w:t xml:space="preserve">Further event evidence.  </w:t>
      </w:r>
      <w:r>
        <w:t>Use pre-December 2024 license and sales records, later store status and lawful alternative revenue to measure the exposed group.</w:t>
      </w:r>
    </w:p>
    <w:p>
      <w:pPr>
        <w:keepLines/>
        <w:spacing w:after="120"/>
      </w:pPr>
      <w:r>
        <w:rPr>
          <w:b/>
        </w:rPr>
        <w:t xml:space="preserve">Sources and citation check.  </w:t>
      </w:r>
      <w:hyperlink r:id="rId186">
        <w:r>
          <w:rPr>
            <w:color w:val="185B83"/>
            <w:u w:val="single"/>
          </w:rPr>
          <w:t>Puppy Mill Pipeline Act, chapter 681 of 2022 (ag.ny.gov)</w:t>
        </w:r>
      </w:hyperlink>
      <w:r>
        <w:t xml:space="preserve">; </w:t>
      </w:r>
      <w:hyperlink r:id="rId187">
        <w:r>
          <w:rPr>
            <w:color w:val="185B83"/>
            <w:u w:val="single"/>
          </w:rPr>
          <w:t>Additional legal or source record (ag.ny.gov)</w:t>
        </w:r>
      </w:hyperlink>
      <w:r>
        <w:t xml:space="preserve">.  </w:t>
      </w:r>
      <w:r>
        <w:t>Official notice and Attorney General release identify effective date, covered animal sales and established licensed dealers.</w:t>
      </w:r>
    </w:p>
    <w:p>
      <w:pPr>
        <w:pStyle w:val="Heading2"/>
      </w:pPr>
      <w:r>
        <w:t>C-244  2019 New York City expanded-polystyrene foam ban</w:t>
      </w:r>
    </w:p>
    <w:p>
      <w:pPr>
        <w:keepNext/>
        <w:keepLines/>
      </w:pPr>
      <w:r>
        <w:rPr>
          <w:b/>
        </w:rPr>
        <w:t xml:space="preserve">Why this qualifies.  </w:t>
      </w:r>
      <w:r>
        <w:t>New York City stopped an established foam-product market for environmental reasons, materially affecting specialized suppliers and some small users' costs.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York City | January 1, 2019; enforcement after June 30. New York City prohibited sale, use or possession of specified single-use expanded-polystyrene food containers and loose-fill packaging for waste-reduction purposes.</w:t>
      </w:r>
    </w:p>
    <w:p>
      <w:pPr>
        <w:keepLines/>
      </w:pPr>
      <w:r>
        <w:rPr>
          <w:b/>
        </w:rPr>
        <w:t xml:space="preserve">Worksite and group record.  </w:t>
      </w:r>
      <w:r>
        <w:t>The city's own notice identifies foam manufacturers, distributors, stores and food-service establishments as affected. Covered product makers and distributors lost that city market; small businesses faced replacement costs and could seek hardship waivers.</w:t>
      </w:r>
    </w:p>
    <w:p>
      <w:pPr>
        <w:keepLines/>
      </w:pPr>
      <w:r>
        <w:rPr>
          <w:b/>
        </w:rPr>
        <w:t xml:space="preserve">Causation and legal limits.  </w:t>
      </w:r>
      <w:r>
        <w:t>Prepackaged-food and raw-meat exceptions, warning period, substitutes and waivers narrow the affected group; later state foam law is a different action and overlapping losses must not be double-counted.</w:t>
      </w:r>
    </w:p>
    <w:p>
      <w:pPr>
        <w:keepLines/>
      </w:pPr>
      <w:r>
        <w:rPr>
          <w:b/>
        </w:rPr>
        <w:t xml:space="preserve">Further event evidence.  </w:t>
      </w:r>
      <w:r>
        <w:t>Find city foam suppliers and their pre-ban sales and workplaces, waiver decisions, substitute-product revenue and post-2022 statewide overlap.</w:t>
      </w:r>
    </w:p>
    <w:p>
      <w:pPr>
        <w:keepLines/>
        <w:spacing w:after="120"/>
      </w:pPr>
      <w:r>
        <w:rPr>
          <w:b/>
        </w:rPr>
        <w:t xml:space="preserve">Sources and citation check.  </w:t>
      </w:r>
      <w:hyperlink r:id="rId188">
        <w:r>
          <w:rPr>
            <w:color w:val="185B83"/>
            <w:u w:val="single"/>
          </w:rPr>
          <w:t>Local Law 142 of 2013 and DSNY implementation (nyc.gov)</w:t>
        </w:r>
      </w:hyperlink>
      <w:r>
        <w:t xml:space="preserve">; </w:t>
      </w:r>
      <w:hyperlink r:id="rId189">
        <w:r>
          <w:rPr>
            <w:color w:val="185B83"/>
            <w:u w:val="single"/>
          </w:rPr>
          <w:t>Additional legal or source record (nyc.gov)</w:t>
        </w:r>
      </w:hyperlink>
      <w:r>
        <w:t xml:space="preserve">.  </w:t>
      </w:r>
      <w:r>
        <w:t>DSNY names the 2019 prohibition and exceptions; Small Business Services describes waivers for excessive financial hardship.</w:t>
      </w:r>
    </w:p>
    <w:p>
      <w:pPr>
        <w:pStyle w:val="Heading2"/>
      </w:pPr>
      <w:r>
        <w:t>C-245  Garrison Dam flooding of Fort Berthold land</w:t>
      </w:r>
    </w:p>
    <w:p>
      <w:pPr>
        <w:keepNext/>
        <w:keepLines/>
      </w:pPr>
      <w:r>
        <w:rPr>
          <w:b/>
        </w:rPr>
        <w:t xml:space="preserve">Why this qualifies.  </w:t>
      </w:r>
      <w:r>
        <w:t>A federal dam built for broad flood-control and power benefits flooded established Fort Berthold homes and working land, materially burdening a concentrated community.</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1946–1953 construction and filling. The United States built Garrison Dam for regional flood control, power and other public purposes, filling Lake Sakakawea on the Missouri River.</w:t>
      </w:r>
    </w:p>
    <w:p>
      <w:pPr>
        <w:keepLines/>
      </w:pPr>
      <w:r>
        <w:rPr>
          <w:b/>
        </w:rPr>
        <w:t xml:space="preserve">Worksite and group record.  </w:t>
      </w:r>
      <w:r>
        <w:t>GAO records 152,360 acres flooded on the Fort Berthold Reservation; Interior had estimated 289 families in the flood area. Homes, ranches and all of the reservation's irrigable land were affected.</w:t>
      </w:r>
    </w:p>
    <w:p>
      <w:pPr>
        <w:keepLines/>
      </w:pPr>
      <w:r>
        <w:rPr>
          <w:b/>
        </w:rPr>
        <w:t xml:space="preserve">Causation and legal limits.  </w:t>
      </w:r>
      <w:r>
        <w:t>Prior land payments and later tribal settlements must be credited; the report's acreage is a reservation-level aggregate, not a roster of uncompensated individuals. Separate crops, housing, timber and businesses by parcel.</w:t>
      </w:r>
    </w:p>
    <w:p>
      <w:pPr>
        <w:keepLines/>
      </w:pPr>
      <w:r>
        <w:rPr>
          <w:b/>
        </w:rPr>
        <w:t xml:space="preserve">Further event evidence.  </w:t>
      </w:r>
      <w:r>
        <w:t>Reconcile the original land acquisition and tribal compensation records with affected farms, enterprises and later settlements.</w:t>
      </w:r>
    </w:p>
    <w:p>
      <w:pPr>
        <w:keepLines/>
        <w:spacing w:after="120"/>
      </w:pPr>
      <w:r>
        <w:rPr>
          <w:b/>
        </w:rPr>
        <w:t xml:space="preserve">Sources and citation check.  </w:t>
      </w:r>
      <w:hyperlink r:id="rId190">
        <w:r>
          <w:rPr>
            <w:color w:val="185B83"/>
            <w:u w:val="single"/>
          </w:rPr>
          <w:t>Pick–Sloan / Flood Control Act of 1944 (gao.gov)</w:t>
        </w:r>
      </w:hyperlink>
      <w:r>
        <w:t xml:space="preserve">; </w:t>
      </w:r>
      <w:hyperlink r:id="rId191">
        <w:r>
          <w:rPr>
            <w:color w:val="185B83"/>
            <w:u w:val="single"/>
          </w:rPr>
          <w:t>Additional legal or source record (nwo.usace.army.mil)</w:t>
        </w:r>
      </w:hyperlink>
      <w:r>
        <w:t xml:space="preserve">.  </w:t>
      </w:r>
      <w:r>
        <w:t>GAO Table 1 quantifies reservation flood acreage and family exposure; the Corps confirms project and public purposes.</w:t>
      </w:r>
    </w:p>
    <w:p>
      <w:pPr>
        <w:pStyle w:val="Heading2"/>
      </w:pPr>
      <w:r>
        <w:t>C-246  Oahe Dam flooding of Cheyenne River and Standing Rock lands</w:t>
      </w:r>
    </w:p>
    <w:p>
      <w:pPr>
        <w:keepNext/>
        <w:keepLines/>
      </w:pPr>
      <w:r>
        <w:rPr>
          <w:b/>
        </w:rPr>
        <w:t xml:space="preserve">Why this qualifies.  </w:t>
      </w:r>
      <w:r>
        <w:t>A federal public-benefit reservoir permanently flooded Cheyenne River and Standing Rock land, materially affecting established homes and land-based work.</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1948–1960s construction and impoundment. The United States constructed Oahe Dam as part of the Missouri River system to reduce downstream flood risk and provide power, water and navigation benefits.</w:t>
      </w:r>
    </w:p>
    <w:p>
      <w:pPr>
        <w:keepLines/>
      </w:pPr>
      <w:r>
        <w:rPr>
          <w:b/>
        </w:rPr>
        <w:t xml:space="preserve">Worksite and group record.  </w:t>
      </w:r>
      <w:r>
        <w:t>GAO records 104,420 acres flooded on the Cheyenne River Reservation and 55,994 on Standing Rock, including valuable river bottoms, resources, structures and land-based livelihoods.</w:t>
      </w:r>
    </w:p>
    <w:p>
      <w:pPr>
        <w:keepLines/>
      </w:pPr>
      <w:r>
        <w:rPr>
          <w:b/>
        </w:rPr>
        <w:t xml:space="preserve">Causation and legal limits.  </w:t>
      </w:r>
      <w:r>
        <w:t>Prior land payments and later tribal settlements must be credited; the report's acreage is a reservation-level aggregate, not a roster of uncompensated individuals. Separate crops, housing, timber and businesses by parcel.</w:t>
      </w:r>
    </w:p>
    <w:p>
      <w:pPr>
        <w:keepLines/>
      </w:pPr>
      <w:r>
        <w:rPr>
          <w:b/>
        </w:rPr>
        <w:t xml:space="preserve">Further event evidence.  </w:t>
      </w:r>
      <w:r>
        <w:t>Compare dam-specific land files, ranch and farm uses, relocation and compensation on the two reservations.</w:t>
      </w:r>
    </w:p>
    <w:p>
      <w:pPr>
        <w:keepLines/>
        <w:spacing w:after="120"/>
      </w:pPr>
      <w:r>
        <w:rPr>
          <w:b/>
        </w:rPr>
        <w:t xml:space="preserve">Sources and citation check.  </w:t>
      </w:r>
      <w:hyperlink r:id="rId190">
        <w:r>
          <w:rPr>
            <w:color w:val="185B83"/>
            <w:u w:val="single"/>
          </w:rPr>
          <w:t>Pick–Sloan / Flood Control Act of 1944 (gao.gov)</w:t>
        </w:r>
      </w:hyperlink>
      <w:r>
        <w:t xml:space="preserve">; </w:t>
      </w:r>
      <w:hyperlink r:id="rId192">
        <w:r>
          <w:rPr>
            <w:color w:val="185B83"/>
            <w:u w:val="single"/>
          </w:rPr>
          <w:t>Additional legal or source record (nwo.usace.army.mil)</w:t>
        </w:r>
      </w:hyperlink>
      <w:r>
        <w:t xml:space="preserve">.  </w:t>
      </w:r>
      <w:r>
        <w:t>GAO Table 1 ties both reservation areas to Oahe; the Corps describes system public purposes.</w:t>
      </w:r>
    </w:p>
    <w:p>
      <w:pPr>
        <w:pStyle w:val="Heading2"/>
      </w:pPr>
      <w:r>
        <w:t>C-247  Fort Randall Dam flooding of reservation lands</w:t>
      </w:r>
    </w:p>
    <w:p>
      <w:pPr>
        <w:keepNext/>
        <w:keepLines/>
      </w:pPr>
      <w:r>
        <w:rPr>
          <w:b/>
        </w:rPr>
        <w:t xml:space="preserve">Why this qualifies.  </w:t>
      </w:r>
      <w:r>
        <w:t>Federal reservoir construction for regional benefits displaced families and working land on several reservations, with losses attributable to this dam to be separately measured.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1950s construction and filling. The United States built Fort Randall Dam for Missouri River flood control and related public power and water purposes.</w:t>
      </w:r>
    </w:p>
    <w:p>
      <w:pPr>
        <w:keepLines/>
      </w:pPr>
      <w:r>
        <w:rPr>
          <w:b/>
        </w:rPr>
        <w:t xml:space="preserve">Worksite and group record.  </w:t>
      </w:r>
      <w:r>
        <w:t>GAO ties this dam to lost land at Crow Creek, Lower Brule and Yankton; it reports 119 families displaced at Crow Creek and Lower Brule by Fort Randall, with 2,851 acres flooded at Yankton.</w:t>
      </w:r>
    </w:p>
    <w:p>
      <w:pPr>
        <w:keepLines/>
      </w:pPr>
      <w:r>
        <w:rPr>
          <w:b/>
        </w:rPr>
        <w:t xml:space="preserve">Causation and legal limits.  </w:t>
      </w:r>
      <w:r>
        <w:t>Prior land payments and later tribal settlements must be credited; the report's acreage is a reservation-level aggregate, not a roster of uncompensated individuals. Separate crops, housing, timber and businesses by parcel. Crow Creek and Lower Brule total acreage in GAO combines this dam with Big Bend; do not assign all acreage twice.</w:t>
      </w:r>
    </w:p>
    <w:p>
      <w:pPr>
        <w:keepLines/>
      </w:pPr>
      <w:r>
        <w:rPr>
          <w:b/>
        </w:rPr>
        <w:t xml:space="preserve">Further event evidence.  </w:t>
      </w:r>
      <w:r>
        <w:t>Use dam-specific condemnation and relocation records to allocate losses separate from Big Bend and credit original and later compensation.</w:t>
      </w:r>
    </w:p>
    <w:p>
      <w:pPr>
        <w:keepLines/>
        <w:spacing w:after="120"/>
      </w:pPr>
      <w:r>
        <w:rPr>
          <w:b/>
        </w:rPr>
        <w:t xml:space="preserve">Sources and citation check.  </w:t>
      </w:r>
      <w:hyperlink r:id="rId190">
        <w:r>
          <w:rPr>
            <w:color w:val="185B83"/>
            <w:u w:val="single"/>
          </w:rPr>
          <w:t>Pick–Sloan / Flood Control Act of 1944 (gao.gov)</w:t>
        </w:r>
      </w:hyperlink>
      <w:r>
        <w:t xml:space="preserve">; </w:t>
      </w:r>
      <w:hyperlink r:id="rId193">
        <w:r>
          <w:rPr>
            <w:color w:val="185B83"/>
            <w:u w:val="single"/>
          </w:rPr>
          <w:t>Additional legal or source record (nwo.usace.army.mil)</w:t>
        </w:r>
      </w:hyperlink>
      <w:r>
        <w:t xml:space="preserve">.  </w:t>
      </w:r>
      <w:r>
        <w:t>GAO ties these reservations and 119 displaced families to Fort Randall; combined acreage cannot be split from its summary.</w:t>
      </w:r>
    </w:p>
    <w:p>
      <w:pPr>
        <w:pStyle w:val="Heading2"/>
      </w:pPr>
      <w:r>
        <w:t>C-248  Big Bend Dam flooding of Crow Creek and Lower Brule lands</w:t>
      </w:r>
    </w:p>
    <w:p>
      <w:pPr>
        <w:keepNext/>
        <w:keepLines/>
      </w:pPr>
      <w:r>
        <w:rPr>
          <w:b/>
        </w:rPr>
        <w:t xml:space="preserve">Why this qualifies.  </w:t>
      </w:r>
      <w:r>
        <w:t>Big Bend's federal public-benefit reservoir separately displaced an established Crow Creek and Lower Brule group, despite overlapping earlier flood effects.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1960s construction and filling. The United States constructed Big Bend Dam as another Missouri River flood-control and hydropower project.</w:t>
      </w:r>
    </w:p>
    <w:p>
      <w:pPr>
        <w:keepLines/>
      </w:pPr>
      <w:r>
        <w:rPr>
          <w:b/>
        </w:rPr>
        <w:t xml:space="preserve">Worksite and group record.  </w:t>
      </w:r>
      <w:r>
        <w:t>GAO reports 89 families displaced on Crow Creek and Lower Brule by Big Bend; the two reservations also lost land to Fort Randall.</w:t>
      </w:r>
    </w:p>
    <w:p>
      <w:pPr>
        <w:keepLines/>
      </w:pPr>
      <w:r>
        <w:rPr>
          <w:b/>
        </w:rPr>
        <w:t xml:space="preserve">Causation and legal limits.  </w:t>
      </w:r>
      <w:r>
        <w:t>Prior land payments and later tribal settlements must be credited; the report's acreage is a reservation-level aggregate, not a roster of uncompensated individuals. Separate crops, housing, timber and businesses by parcel. Some families faced both projects, so the same loss cannot be counted twice.</w:t>
      </w:r>
    </w:p>
    <w:p>
      <w:pPr>
        <w:keepLines/>
      </w:pPr>
      <w:r>
        <w:rPr>
          <w:b/>
        </w:rPr>
        <w:t xml:space="preserve">Further event evidence.  </w:t>
      </w:r>
      <w:r>
        <w:t>Match parcel and household relocation across both dam projects, distinguishing incremental Big Bend harm and prior compensation.</w:t>
      </w:r>
    </w:p>
    <w:p>
      <w:pPr>
        <w:keepLines/>
        <w:spacing w:after="120"/>
      </w:pPr>
      <w:r>
        <w:rPr>
          <w:b/>
        </w:rPr>
        <w:t xml:space="preserve">Sources and citation check.  </w:t>
      </w:r>
      <w:hyperlink r:id="rId190">
        <w:r>
          <w:rPr>
            <w:color w:val="185B83"/>
            <w:u w:val="single"/>
          </w:rPr>
          <w:t>Pick–Sloan / Flood Control Act of 1944 (gao.gov)</w:t>
        </w:r>
      </w:hyperlink>
      <w:r>
        <w:t xml:space="preserve">; </w:t>
      </w:r>
      <w:hyperlink r:id="rId193">
        <w:r>
          <w:rPr>
            <w:color w:val="185B83"/>
            <w:u w:val="single"/>
          </w:rPr>
          <w:t>Additional legal or source record (nwo.usace.army.mil)</w:t>
        </w:r>
      </w:hyperlink>
      <w:r>
        <w:t xml:space="preserve">.  </w:t>
      </w:r>
      <w:r>
        <w:t>GAO states the 89-family Big Bend displacement and overlapping Fort Randall effects, and lists original settlement acts.</w:t>
      </w:r>
    </w:p>
    <w:p>
      <w:pPr>
        <w:pStyle w:val="Heading2"/>
      </w:pPr>
      <w:r>
        <w:t>C-249  Gavins Point Dam flooding of Santee land</w:t>
      </w:r>
    </w:p>
    <w:p>
      <w:pPr>
        <w:keepNext/>
        <w:keepLines/>
      </w:pPr>
      <w:r>
        <w:rPr>
          <w:b/>
        </w:rPr>
        <w:t xml:space="preserve">Why this qualifies.  </w:t>
      </w:r>
      <w:r>
        <w:t>Federal dam construction for the wider Missouri basin permanently took a smaller group's established reservation land and resources.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1950s construction and filling. The United States built Gavins Point Dam within the Missouri River flood-control and power system.</w:t>
      </w:r>
    </w:p>
    <w:p>
      <w:pPr>
        <w:keepLines/>
      </w:pPr>
      <w:r>
        <w:rPr>
          <w:b/>
        </w:rPr>
        <w:t xml:space="preserve">Worksite and group record.  </w:t>
      </w:r>
      <w:r>
        <w:t>GAO identifies 593 acres of Santee Reservation land permanently flooded by this dam, with land and natural-resource impacts.</w:t>
      </w:r>
    </w:p>
    <w:p>
      <w:pPr>
        <w:keepLines/>
      </w:pPr>
      <w:r>
        <w:rPr>
          <w:b/>
        </w:rPr>
        <w:t xml:space="preserve">Causation and legal limits.  </w:t>
      </w:r>
      <w:r>
        <w:t>Prior land payments and later tribal settlements must be credited; the report's acreage is a reservation-level aggregate, not a roster of uncompensated individuals. Separate crops, housing, timber and businesses by parcel.</w:t>
      </w:r>
    </w:p>
    <w:p>
      <w:pPr>
        <w:keepLines/>
      </w:pPr>
      <w:r>
        <w:rPr>
          <w:b/>
        </w:rPr>
        <w:t xml:space="preserve">Further event evidence.  </w:t>
      </w:r>
      <w:r>
        <w:t>Identify affected Santee parcels and uses, initial property payments and any subsequent compensation.</w:t>
      </w:r>
    </w:p>
    <w:p>
      <w:pPr>
        <w:keepLines/>
        <w:spacing w:after="120"/>
      </w:pPr>
      <w:r>
        <w:rPr>
          <w:b/>
        </w:rPr>
        <w:t xml:space="preserve">Sources and citation check.  </w:t>
      </w:r>
      <w:hyperlink r:id="rId190">
        <w:r>
          <w:rPr>
            <w:color w:val="185B83"/>
            <w:u w:val="single"/>
          </w:rPr>
          <w:t>Pick–Sloan / Flood Control Act of 1944 (gao.gov)</w:t>
        </w:r>
      </w:hyperlink>
      <w:r>
        <w:t xml:space="preserve">; </w:t>
      </w:r>
      <w:hyperlink r:id="rId193">
        <w:r>
          <w:rPr>
            <w:color w:val="185B83"/>
            <w:u w:val="single"/>
          </w:rPr>
          <w:t>Additional legal or source record (nwo.usace.army.mil)</w:t>
        </w:r>
      </w:hyperlink>
      <w:r>
        <w:t xml:space="preserve">.  </w:t>
      </w:r>
      <w:r>
        <w:t>GAO Table 1 assigns the 593 acres to Gavins Point and describes general reservation damages and compensation.</w:t>
      </w:r>
    </w:p>
    <w:p>
      <w:pPr>
        <w:pStyle w:val="Heading2"/>
      </w:pPr>
      <w:r>
        <w:t>C-250  Grand Coulee Dam and Lake Roosevelt inundation</w:t>
      </w:r>
    </w:p>
    <w:p>
      <w:pPr>
        <w:keepNext/>
        <w:keepLines/>
      </w:pPr>
      <w:r>
        <w:rPr>
          <w:b/>
        </w:rPr>
        <w:t xml:space="preserve">Why this qualifies.  </w:t>
      </w:r>
      <w:r>
        <w:t>A federal dam for national power and irrigation inundated established towns, homes and fishing places, materially affecting smaller resident and working groups.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Bureau of Reclamation and federal works agencies | 1933–1942 construction and filling. The federal government built Grand Coulee Dam and filled Lake Roosevelt to generate power, irrigate the Columbia Basin and support public works.</w:t>
      </w:r>
    </w:p>
    <w:p>
      <w:pPr>
        <w:keepLines/>
      </w:pPr>
      <w:r>
        <w:rPr>
          <w:b/>
        </w:rPr>
        <w:t xml:space="preserve">Worksite and group record.  </w:t>
      </w:r>
      <w:r>
        <w:t>The National Park Service reports that 11 river towns were lost and roughly 3,000 people left homes in the inundation zone; Kettle Falls and its longstanding salmon fishing place were also covered.</w:t>
      </w:r>
    </w:p>
    <w:p>
      <w:pPr>
        <w:keepLines/>
      </w:pPr>
      <w:r>
        <w:rPr>
          <w:b/>
        </w:rPr>
        <w:t xml:space="preserve">Causation and legal limits.  </w:t>
      </w:r>
      <w:r>
        <w:t>Residents, tribal fishing communities and town businesses had different land rights and redress histories. Do not treat everyone who moved as having the same unpaid livelihood loss.</w:t>
      </w:r>
    </w:p>
    <w:p>
      <w:pPr>
        <w:keepLines/>
      </w:pPr>
      <w:r>
        <w:rPr>
          <w:b/>
        </w:rPr>
        <w:t xml:space="preserve">Further event evidence.  </w:t>
      </w:r>
      <w:r>
        <w:t>Match flooded parcels, town enterprises and tribal fishing use to the original acquisition and later settlement records.</w:t>
      </w:r>
    </w:p>
    <w:p>
      <w:pPr>
        <w:keepLines/>
        <w:spacing w:after="120"/>
      </w:pPr>
      <w:r>
        <w:rPr>
          <w:b/>
        </w:rPr>
        <w:t xml:space="preserve">Sources and citation check.  </w:t>
      </w:r>
      <w:hyperlink r:id="rId194">
        <w:r>
          <w:rPr>
            <w:color w:val="185B83"/>
            <w:u w:val="single"/>
          </w:rPr>
          <w:t>Grand Coulee / Columbia Basin Project (home.nps.gov)</w:t>
        </w:r>
      </w:hyperlink>
      <w:r>
        <w:t xml:space="preserve">; </w:t>
      </w:r>
      <w:hyperlink r:id="rId195">
        <w:r>
          <w:rPr>
            <w:color w:val="185B83"/>
            <w:u w:val="single"/>
          </w:rPr>
          <w:t>Additional legal or source record (nps.gov)</w:t>
        </w:r>
      </w:hyperlink>
      <w:r>
        <w:t xml:space="preserve">.  </w:t>
      </w:r>
      <w:r>
        <w:t>NPS identifies the 11 lost towns, roughly 3,000 displaced people and the river-bottom communities; project purposes and compensation need individualized group review.</w:t>
      </w:r>
    </w:p>
    <w:p>
      <w:pPr>
        <w:pStyle w:val="Heading2"/>
      </w:pPr>
      <w:r>
        <w:t>C-251  Norris Dam reservoir relocation in the Clinch Valley</w:t>
      </w:r>
    </w:p>
    <w:p>
      <w:pPr>
        <w:keepNext/>
        <w:keepLines/>
      </w:pPr>
      <w:r>
        <w:rPr>
          <w:b/>
        </w:rPr>
        <w:t xml:space="preserve">Why this qualifies.  </w:t>
      </w:r>
      <w:r>
        <w:t>TVA's public power and flood project displaced established Clinch Valley households and land-based work through the dam land program.</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Tennessee Valley Authority | 1933–1936 construction. TVA built Norris Dam for flood control and power as its first planned hydroelectric project, acquiring and flooding upstream land.</w:t>
      </w:r>
    </w:p>
    <w:p>
      <w:pPr>
        <w:keepLines/>
      </w:pPr>
      <w:r>
        <w:rPr>
          <w:b/>
        </w:rPr>
        <w:t xml:space="preserve">Worksite and group record.  </w:t>
      </w:r>
      <w:r>
        <w:t>A National Park Service history says the project established a relocation protocol for families and grave sites; the Clinch Valley record describes community displacement.</w:t>
      </w:r>
    </w:p>
    <w:p>
      <w:pPr>
        <w:keepLines/>
      </w:pPr>
      <w:r>
        <w:rPr>
          <w:b/>
        </w:rPr>
        <w:t xml:space="preserve">Causation and legal limits.  </w:t>
      </w:r>
      <w:r>
        <w:t>The public source establishes an affected resident group but not a final family count or loss after land payments; some acquired owners could continue farms elsewhere.</w:t>
      </w:r>
    </w:p>
    <w:p>
      <w:pPr>
        <w:keepLines/>
      </w:pPr>
      <w:r>
        <w:rPr>
          <w:b/>
        </w:rPr>
        <w:t xml:space="preserve">Further event evidence.  </w:t>
      </w:r>
      <w:r>
        <w:t>Extract TVA purchase and relocation ledgers to identify farms, businesses and actual resettlement results.</w:t>
      </w:r>
    </w:p>
    <w:p>
      <w:pPr>
        <w:keepLines/>
        <w:spacing w:after="120"/>
      </w:pPr>
      <w:r>
        <w:rPr>
          <w:b/>
        </w:rPr>
        <w:t xml:space="preserve">Sources and citation check.  </w:t>
      </w:r>
      <w:hyperlink r:id="rId196">
        <w:r>
          <w:rPr>
            <w:color w:val="185B83"/>
            <w:u w:val="single"/>
          </w:rPr>
          <w:t>Tennessee Valley Authority Norris project (npgallery.nps.gov)</w:t>
        </w:r>
      </w:hyperlink>
      <w:r>
        <w:t xml:space="preserve">; </w:t>
      </w:r>
      <w:hyperlink r:id="rId197">
        <w:r>
          <w:rPr>
            <w:color w:val="185B83"/>
            <w:u w:val="single"/>
          </w:rPr>
          <w:t>Additional legal or source record (tva.com)</w:t>
        </w:r>
      </w:hyperlink>
      <w:r>
        <w:t xml:space="preserve">.  </w:t>
      </w:r>
      <w:r>
        <w:t>NPS nomination documents relocation protocol; TVA identifies dam timing and power/flood purposes. Scale requires original land records.</w:t>
      </w:r>
    </w:p>
    <w:p>
      <w:pPr>
        <w:pStyle w:val="Heading2"/>
      </w:pPr>
      <w:r>
        <w:t>C-252  Watauga Dam relocation of Butler, Tennessee</w:t>
      </w:r>
    </w:p>
    <w:p>
      <w:pPr>
        <w:keepNext/>
        <w:keepLines/>
      </w:pPr>
      <w:r>
        <w:rPr>
          <w:b/>
        </w:rPr>
        <w:t xml:space="preserve">Why this qualifies.  </w:t>
      </w:r>
      <w:r>
        <w:t>A federal flood-control and power project moved a preexisting agricultural town, materially affecting its households and place-bound livelihoods.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Tennessee Valley Authority | 1942–1948 construction and filling. TVA built Watauga Dam to control flooding and generate power and moved Butler, Tennessee, to higher ground before reservoir filling.</w:t>
      </w:r>
    </w:p>
    <w:p>
      <w:pPr>
        <w:keepLines/>
      </w:pPr>
      <w:r>
        <w:rPr>
          <w:b/>
        </w:rPr>
        <w:t xml:space="preserve">Worksite and group record.  </w:t>
      </w:r>
      <w:r>
        <w:t>TVA describes Butler as an agricultural town of about 650 families when work resumed; moving the whole town disrupted existing homes, farms and local businesses.</w:t>
      </w:r>
    </w:p>
    <w:p>
      <w:pPr>
        <w:keepLines/>
      </w:pPr>
      <w:r>
        <w:rPr>
          <w:b/>
        </w:rPr>
        <w:t xml:space="preserve">Causation and legal limits.  </w:t>
      </w:r>
      <w:r>
        <w:t>The 650 is a pre-project town-family figure, not a count of uncompensated moves or lost businesses; Butler was rebuilt and some activities resumed.</w:t>
      </w:r>
    </w:p>
    <w:p>
      <w:pPr>
        <w:keepLines/>
      </w:pPr>
      <w:r>
        <w:rPr>
          <w:b/>
        </w:rPr>
        <w:t xml:space="preserve">Further event evidence.  </w:t>
      </w:r>
      <w:r>
        <w:t>Use TVA relocation and property ledgers to distinguish land loss, resettlement, replacement enterprises and prior payment.</w:t>
      </w:r>
    </w:p>
    <w:p>
      <w:pPr>
        <w:keepLines/>
        <w:spacing w:after="120"/>
      </w:pPr>
      <w:r>
        <w:rPr>
          <w:b/>
        </w:rPr>
        <w:t xml:space="preserve">Sources and citation check.  </w:t>
      </w:r>
      <w:hyperlink r:id="rId198">
        <w:r>
          <w:rPr>
            <w:color w:val="185B83"/>
            <w:u w:val="single"/>
          </w:rPr>
          <w:t>TVA Watauga Dam project (tva.com)</w:t>
        </w:r>
      </w:hyperlink>
      <w:r>
        <w:t xml:space="preserve">; </w:t>
      </w:r>
      <w:hyperlink r:id="rId199">
        <w:r>
          <w:rPr>
            <w:color w:val="185B83"/>
            <w:u w:val="single"/>
          </w:rPr>
          <w:t>Additional legal or source record (tva.com)</w:t>
        </w:r>
      </w:hyperlink>
      <w:r>
        <w:t xml:space="preserve">.  </w:t>
      </w:r>
      <w:r>
        <w:t>TVA records the town's relocation and family context plus dam completion and public purpose; net loss requires local records.</w:t>
      </w:r>
    </w:p>
    <w:p>
      <w:pPr>
        <w:pStyle w:val="Heading2"/>
      </w:pPr>
      <w:r>
        <w:t>C-253  1942 wartime exclusion and incarceration of Japanese Americans</w:t>
      </w:r>
    </w:p>
    <w:p>
      <w:pPr>
        <w:keepNext/>
        <w:keepLines/>
      </w:pPr>
      <w:r>
        <w:rPr>
          <w:b/>
        </w:rPr>
        <w:t xml:space="preserve">Why this qualifies.  </w:t>
      </w:r>
      <w:r>
        <w:t>Federal exclusion orders asserted national defense while imposing devastating material loss on a smaller American group; later Congress rejected the premise and provided redress, which must be counted.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War Department | 1942–1945. The federal government asserted a nationwide wartime-defense purpose, designated military areas and forcibly removed and incarcerated Japanese Americans from the West Coast.</w:t>
      </w:r>
    </w:p>
    <w:p>
      <w:pPr>
        <w:keepLines/>
      </w:pPr>
      <w:r>
        <w:rPr>
          <w:b/>
        </w:rPr>
        <w:t xml:space="preserve">Worksite and group record.  </w:t>
      </w:r>
      <w:r>
        <w:t>More than 120,000 people were uprooted; many lost homes, property, businesses and work. The displaced cohort included U.S. citizens and lawful permanent residents.</w:t>
      </w:r>
    </w:p>
    <w:p>
      <w:pPr>
        <w:keepLines/>
      </w:pPr>
      <w:r>
        <w:rPr>
          <w:b/>
        </w:rPr>
        <w:t xml:space="preserve">Causation and legal limits.  </w:t>
      </w:r>
      <w:r>
        <w:t>Congress later recognized the action as a grave injustice rooted in racial prejudice and war hysteria, not a valid military necessity. The 1948 property-claims law and 1988 redress payments must be credited; this record does not suggest any additional individual entitlement.</w:t>
      </w:r>
    </w:p>
    <w:p>
      <w:pPr>
        <w:keepLines/>
      </w:pPr>
      <w:r>
        <w:rPr>
          <w:b/>
        </w:rPr>
        <w:t xml:space="preserve">Further event evidence.  </w:t>
      </w:r>
      <w:r>
        <w:t>Match business and work loss categories to contemporaneous records and the two redress programs, without relitigating the event's wrongful character.</w:t>
      </w:r>
    </w:p>
    <w:p>
      <w:pPr>
        <w:keepLines/>
        <w:spacing w:after="120"/>
      </w:pPr>
      <w:r>
        <w:rPr>
          <w:b/>
        </w:rPr>
        <w:t xml:space="preserve">Sources and citation check.  </w:t>
      </w:r>
      <w:hyperlink r:id="rId200">
        <w:r>
          <w:rPr>
            <w:color w:val="185B83"/>
            <w:u w:val="single"/>
          </w:rPr>
          <w:t>Executive Order 9066 and civilian exclusion orders (nps.gov)</w:t>
        </w:r>
      </w:hyperlink>
      <w:r>
        <w:t xml:space="preserve">; </w:t>
      </w:r>
      <w:hyperlink r:id="rId201">
        <w:r>
          <w:rPr>
            <w:color w:val="185B83"/>
            <w:u w:val="single"/>
          </w:rPr>
          <w:t>Additional legal or source record (archives.gov)</w:t>
        </w:r>
      </w:hyperlink>
      <w:r>
        <w:t xml:space="preserve">.  </w:t>
      </w:r>
      <w:r>
        <w:t>NPS documents the order and 120,000-plus forced removals; National Archives explains the later congressional apology and $20,000 redress. Stated national-security purpose is expressly described as a claim later repudiated.</w:t>
      </w:r>
    </w:p>
    <w:p>
      <w:pPr>
        <w:pStyle w:val="Heading2"/>
      </w:pPr>
      <w:r>
        <w:t>C-254  1857 Seneca Village clearance for Central Park</w:t>
      </w:r>
    </w:p>
    <w:p>
      <w:pPr>
        <w:keepNext/>
        <w:keepLines/>
      </w:pPr>
      <w:r>
        <w:rPr>
          <w:b/>
        </w:rPr>
        <w:t xml:space="preserve">Why this qualifies.  </w:t>
      </w:r>
      <w:r>
        <w:t>The city took and cleared an established smaller community for a public park, materially ending its homes, place-based cultivation and local institutions.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New York City | 1857. New York City used eminent domain to acquire Seneca Village land and remove residents to build a large public park for the growing city.</w:t>
      </w:r>
    </w:p>
    <w:p>
      <w:pPr>
        <w:keepLines/>
      </w:pPr>
      <w:r>
        <w:rPr>
          <w:b/>
        </w:rPr>
        <w:t xml:space="preserve">Worksite and group record.  </w:t>
      </w:r>
      <w:r>
        <w:t>City and NPS histories describe at least 220 established residents, homes, churches, a school, fields and orchards displaced from this community, including Black property owners and immigrant neighbors.</w:t>
      </w:r>
    </w:p>
    <w:p>
      <w:pPr>
        <w:keepLines/>
      </w:pPr>
      <w:r>
        <w:rPr>
          <w:b/>
        </w:rPr>
        <w:t xml:space="preserve">Causation and legal limits.  </w:t>
      </w:r>
      <w:r>
        <w:t>Original property payments, tenant status and subsequent work or housing need separate evidence; do not infer that all residents owned land or received no compensation.</w:t>
      </w:r>
    </w:p>
    <w:p>
      <w:pPr>
        <w:keepLines/>
      </w:pPr>
      <w:r>
        <w:rPr>
          <w:b/>
        </w:rPr>
        <w:t xml:space="preserve">Further event evidence.  </w:t>
      </w:r>
      <w:r>
        <w:t>Cross-check property award and census records against residents' homes, crops, businesses and tenancy.</w:t>
      </w:r>
    </w:p>
    <w:p>
      <w:pPr>
        <w:keepLines/>
        <w:spacing w:after="120"/>
      </w:pPr>
      <w:r>
        <w:rPr>
          <w:b/>
        </w:rPr>
        <w:t xml:space="preserve">Sources and citation check.  </w:t>
      </w:r>
      <w:hyperlink r:id="rId202">
        <w:r>
          <w:rPr>
            <w:color w:val="185B83"/>
            <w:u w:val="single"/>
          </w:rPr>
          <w:t>State-authorized eminent domain for Central Park (nyc.gov)</w:t>
        </w:r>
      </w:hyperlink>
      <w:r>
        <w:t xml:space="preserve">; </w:t>
      </w:r>
      <w:hyperlink r:id="rId203">
        <w:r>
          <w:rPr>
            <w:color w:val="185B83"/>
            <w:u w:val="single"/>
          </w:rPr>
          <w:t>Additional legal or source record (nycgovparks.org)</w:t>
        </w:r>
      </w:hyperlink>
      <w:r>
        <w:t xml:space="preserve">.  </w:t>
      </w:r>
      <w:r>
        <w:t>NYC Landmarks documents community displacement and resident count; NYC Parks supplies the public-park authorization and eminent-domain purpose.</w:t>
      </w:r>
    </w:p>
    <w:p>
      <w:pPr>
        <w:pStyle w:val="Heading2"/>
      </w:pPr>
      <w:r>
        <w:t>C-255  1950s Southwest Washington urban renewal clearance</w:t>
      </w:r>
    </w:p>
    <w:p>
      <w:pPr>
        <w:keepNext/>
        <w:keepLines/>
      </w:pPr>
      <w:r>
        <w:rPr>
          <w:b/>
        </w:rPr>
        <w:t xml:space="preserve">Why this qualifies.  </w:t>
      </w:r>
      <w:r>
        <w:t>Public urban renewal cleared established Southwest homes and enterprises for wider city development, concentrating material loss in the affected neighborhood.</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District of Columbia / federal redevelopment agencies | 1950s–1960s. Federal and District planners assembled and cleared Southwest Washington land for a public urban-renewal program intended to improve housing and the capital's economy.</w:t>
      </w:r>
    </w:p>
    <w:p>
      <w:pPr>
        <w:keepLines/>
      </w:pPr>
      <w:r>
        <w:rPr>
          <w:b/>
        </w:rPr>
        <w:t xml:space="preserve">Worksite and group record.  </w:t>
      </w:r>
      <w:r>
        <w:t>The National Capital Planning Commission reports 400 acres cleared, forced removal of 23,500 residents and displacement of local small businesses; many could not return.</w:t>
      </w:r>
    </w:p>
    <w:p>
      <w:pPr>
        <w:keepLines/>
      </w:pPr>
      <w:r>
        <w:rPr>
          <w:b/>
        </w:rPr>
        <w:t xml:space="preserve">Causation and legal limits.  </w:t>
      </w:r>
      <w:r>
        <w:t>The large group includes households and firms with different losses, acquisition payments and relocation assistance. Later redevelopment jobs do not automatically erase particular earlier harms.</w:t>
      </w:r>
    </w:p>
    <w:p>
      <w:pPr>
        <w:keepLines/>
      </w:pPr>
      <w:r>
        <w:rPr>
          <w:b/>
        </w:rPr>
        <w:t xml:space="preserve">Further event evidence.  </w:t>
      </w:r>
      <w:r>
        <w:t>Match renewal parcels, businesses and displaced households to acquisition and relocation files and subsequent compensation.</w:t>
      </w:r>
    </w:p>
    <w:p>
      <w:pPr>
        <w:keepLines/>
        <w:spacing w:after="120"/>
      </w:pPr>
      <w:r>
        <w:rPr>
          <w:b/>
        </w:rPr>
        <w:t xml:space="preserve">Sources and citation check.  </w:t>
      </w:r>
      <w:hyperlink r:id="rId204">
        <w:r>
          <w:rPr>
            <w:color w:val="185B83"/>
            <w:u w:val="single"/>
          </w:rPr>
          <w:t>D.C. Redevelopment Act and Southwest renewal plans (ncpc.gov)</w:t>
        </w:r>
      </w:hyperlink>
      <w:r>
        <w:t xml:space="preserve">; </w:t>
      </w:r>
      <w:hyperlink r:id="rId205">
        <w:r>
          <w:rPr>
            <w:color w:val="185B83"/>
            <w:u w:val="single"/>
          </w:rPr>
          <w:t>Additional legal or source record (ncpc.gov)</w:t>
        </w:r>
      </w:hyperlink>
      <w:r>
        <w:t xml:space="preserve">.  </w:t>
      </w:r>
      <w:r>
        <w:t>NCPC official history gives 400 acres and 23,500 people; NCPC separately identifies condemned small businesses and the urban-improvement purpose.</w:t>
      </w:r>
    </w:p>
    <w:p>
      <w:pPr>
        <w:pStyle w:val="Heading2"/>
      </w:pPr>
      <w:r>
        <w:t>C-256  1950s I-375 Detroit highway and urban renewal clearance</w:t>
      </w:r>
    </w:p>
    <w:p>
      <w:pPr>
        <w:keepNext/>
        <w:keepLines/>
      </w:pPr>
      <w:r>
        <w:rPr>
          <w:b/>
        </w:rPr>
        <w:t xml:space="preserve">Why this qualifies.  </w:t>
      </w:r>
      <w:r>
        <w:t>The public highway project removed an established residential and commercial district, materially affecting its local businesses and residents.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Michigan and United States / highway agencies | 1950s highway clearance. Michigan and federal highway agencies built I-375 to create an urban transportation link, with associated redevelopment in central Detroit.</w:t>
      </w:r>
    </w:p>
    <w:p>
      <w:pPr>
        <w:keepLines/>
      </w:pPr>
      <w:r>
        <w:rPr>
          <w:b/>
        </w:rPr>
        <w:t xml:space="preserve">Worksite and group record.  </w:t>
      </w:r>
      <w:r>
        <w:t>Federal Highway Administration records say the route and subsequent urban renewal largely demolished Paradise Valley and Black Bottom, established Black residential and business centers.</w:t>
      </w:r>
    </w:p>
    <w:p>
      <w:pPr>
        <w:keepLines/>
      </w:pPr>
      <w:r>
        <w:rPr>
          <w:b/>
        </w:rPr>
        <w:t xml:space="preserve">Causation and legal limits.  </w:t>
      </w:r>
      <w:r>
        <w:t>The highway and following renewal are overlapping but distinguishable government actions; property payments, exact parcels and businesses need allocation before counting losses twice.</w:t>
      </w:r>
    </w:p>
    <w:p>
      <w:pPr>
        <w:keepLines/>
      </w:pPr>
      <w:r>
        <w:rPr>
          <w:b/>
        </w:rPr>
        <w:t xml:space="preserve">Further event evidence.  </w:t>
      </w:r>
      <w:r>
        <w:t>Compare historic right-of-way, condemnation and business directories to identify highway-specific and renewal-specific burdens.</w:t>
      </w:r>
    </w:p>
    <w:p>
      <w:pPr>
        <w:keepLines/>
        <w:spacing w:after="120"/>
      </w:pPr>
      <w:r>
        <w:rPr>
          <w:b/>
        </w:rPr>
        <w:t xml:space="preserve">Sources and citation check.  </w:t>
      </w:r>
      <w:hyperlink r:id="rId206">
        <w:r>
          <w:rPr>
            <w:color w:val="185B83"/>
            <w:u w:val="single"/>
          </w:rPr>
          <w:t>I-375 construction and related urban renewal (environment.fhwa.dot.gov)</w:t>
        </w:r>
      </w:hyperlink>
      <w:r>
        <w:t xml:space="preserve">; </w:t>
      </w:r>
      <w:hyperlink r:id="rId207">
        <w:r>
          <w:rPr>
            <w:color w:val="185B83"/>
            <w:u w:val="single"/>
          </w:rPr>
          <w:t>Additional legal or source record (fhwa.dot.gov)</w:t>
        </w:r>
      </w:hyperlink>
      <w:r>
        <w:t xml:space="preserve">.  </w:t>
      </w:r>
      <w:r>
        <w:t>FHWA documents construction in two established neighborhoods and demolition; its workshop distinguishes subsequent urban renewal.</w:t>
      </w:r>
    </w:p>
    <w:p>
      <w:pPr>
        <w:pStyle w:val="Heading2"/>
      </w:pPr>
      <w:r>
        <w:t>C-257  New London Fort Trumbull economic-development takings</w:t>
      </w:r>
    </w:p>
    <w:p>
      <w:pPr>
        <w:keepNext/>
        <w:keepLines/>
      </w:pPr>
      <w:r>
        <w:rPr>
          <w:b/>
        </w:rPr>
        <w:t xml:space="preserve">Why this qualifies.  </w:t>
      </w:r>
      <w:r>
        <w:t>A city used eminent domain on a smaller property group for a stated wider economic-development benefit, imposing a material land and place-based burden.</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City of New London, Connecticut | 2000–2006 development plan and condemnation. New London authorized land assembly and condemnation in the Fort Trumbull district to pursue citywide economic revitalization and jobs.</w:t>
      </w:r>
    </w:p>
    <w:p>
      <w:pPr>
        <w:keepLines/>
      </w:pPr>
      <w:r>
        <w:rPr>
          <w:b/>
        </w:rPr>
        <w:t xml:space="preserve">Worksite and group record.  </w:t>
      </w:r>
      <w:r>
        <w:t>The plan contained about 115 parcels with residential and commercial uses; after voluntary purchases, the city initiated condemnation against owners who refused to sell, uprooting the remaining place-bound homeowners and businesses.</w:t>
      </w:r>
    </w:p>
    <w:p>
      <w:pPr>
        <w:keepLines/>
      </w:pPr>
      <w:r>
        <w:rPr>
          <w:b/>
        </w:rPr>
        <w:t xml:space="preserve">Causation and legal limits.  </w:t>
      </w:r>
      <w:r>
        <w:t>Most parcels were purchased voluntarily; the Supreme Court case concerns the remaining condemned group. Fair-market land awards and relocation assistance must be credited, and unrealized redevelopment benefits do not measure a particular owner's loss.</w:t>
      </w:r>
    </w:p>
    <w:p>
      <w:pPr>
        <w:keepLines/>
      </w:pPr>
      <w:r>
        <w:rPr>
          <w:b/>
        </w:rPr>
        <w:t xml:space="preserve">Further event evidence.  </w:t>
      </w:r>
      <w:r>
        <w:t>Use city condemnation dockets and relocation files to isolate compelled properties, affected enterprises and paid amounts.</w:t>
      </w:r>
    </w:p>
    <w:p>
      <w:pPr>
        <w:keepLines/>
        <w:spacing w:after="120"/>
      </w:pPr>
      <w:r>
        <w:rPr>
          <w:b/>
        </w:rPr>
        <w:t xml:space="preserve">Sources and citation check.  </w:t>
      </w:r>
      <w:hyperlink r:id="rId208">
        <w:r>
          <w:rPr>
            <w:color w:val="185B83"/>
            <w:u w:val="single"/>
          </w:rPr>
          <w:t>Fort Trumbull municipal development plan (cga.ct.gov)</w:t>
        </w:r>
      </w:hyperlink>
      <w:r>
        <w:t xml:space="preserve">; </w:t>
      </w:r>
      <w:hyperlink r:id="rId209">
        <w:r>
          <w:rPr>
            <w:color w:val="185B83"/>
            <w:u w:val="single"/>
          </w:rPr>
          <w:t>Additional legal or source record (law.cornell.edu)</w:t>
        </w:r>
      </w:hyperlink>
      <w:r>
        <w:t xml:space="preserve">.  </w:t>
      </w:r>
      <w:r>
        <w:t>Connecticut legislative research describes the 90-acre/115-parcel plan; Supreme Court opinion identifies compulsory proceedings after voluntary acquisitions and the stated public economic purpose.</w:t>
      </w:r>
    </w:p>
    <w:p>
      <w:pPr>
        <w:pStyle w:val="Heading2"/>
      </w:pPr>
      <w:r>
        <w:t>C-258  1942 Oak Ridge Manhattan Project land acquisition</w:t>
      </w:r>
    </w:p>
    <w:p>
      <w:pPr>
        <w:keepNext/>
        <w:keepLines/>
      </w:pPr>
      <w:r>
        <w:rPr>
          <w:b/>
        </w:rPr>
        <w:t xml:space="preserve">Why this qualifies.  </w:t>
      </w:r>
      <w:r>
        <w:t>A national-defense project took established rural land and work in one local area, imposing concentrated material costs.</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1942–1943. The Army acquired and fenced 56,000 acres for a secret wartime uranium-enrichment center serving national defense.</w:t>
      </w:r>
    </w:p>
    <w:p>
      <w:pPr>
        <w:keepLines/>
      </w:pPr>
      <w:r>
        <w:rPr>
          <w:b/>
        </w:rPr>
        <w:t xml:space="preserve">Worksite and group record.  </w:t>
      </w:r>
      <w:r>
        <w:t>National Park Service records identify longstanding rural communities whose homes, land and livelihoods were displaced by the site's acquisition.</w:t>
      </w:r>
    </w:p>
    <w:p>
      <w:pPr>
        <w:keepLines/>
      </w:pPr>
      <w:r>
        <w:rPr>
          <w:b/>
        </w:rPr>
        <w:t xml:space="preserve">Causation and legal limits.  </w:t>
      </w:r>
      <w:r>
        <w:t>Original purchase or condemnation payments, temporary wartime jobs and later land use may offset different households differently; acreage is site size, not a count of uncompensated farms.</w:t>
      </w:r>
    </w:p>
    <w:p>
      <w:pPr>
        <w:keepLines/>
      </w:pPr>
      <w:r>
        <w:rPr>
          <w:b/>
        </w:rPr>
        <w:t xml:space="preserve">Further event evidence.  </w:t>
      </w:r>
      <w:r>
        <w:t>Review federal land-acquisition files and community records for affected farms, shops and compensation.</w:t>
      </w:r>
    </w:p>
    <w:p>
      <w:pPr>
        <w:keepLines/>
        <w:spacing w:after="120"/>
      </w:pPr>
      <w:r>
        <w:rPr>
          <w:b/>
        </w:rPr>
        <w:t xml:space="preserve">Sources and citation check.  </w:t>
      </w:r>
      <w:hyperlink r:id="rId210">
        <w:r>
          <w:rPr>
            <w:color w:val="185B83"/>
            <w:u w:val="single"/>
          </w:rPr>
          <w:t>Manhattan Project Oak Ridge site acquisition (nps.gov)</w:t>
        </w:r>
      </w:hyperlink>
      <w:r>
        <w:t xml:space="preserve">; </w:t>
      </w:r>
      <w:hyperlink r:id="rId211">
        <w:r>
          <w:rPr>
            <w:color w:val="185B83"/>
            <w:u w:val="single"/>
          </w:rPr>
          <w:t>Additional legal or source record (energy.gov)</w:t>
        </w:r>
      </w:hyperlink>
      <w:r>
        <w:t xml:space="preserve">.  </w:t>
      </w:r>
      <w:r>
        <w:t>NPS identifies displaced established communities and livelihoods; DOE documents the 1942–43 acquisition and 56,000-acre security perimeter.</w:t>
      </w:r>
    </w:p>
    <w:p>
      <w:pPr>
        <w:pStyle w:val="Heading2"/>
      </w:pPr>
      <w:r>
        <w:t>C-259  1942 Los Alamos Manhattan Project land acquisition</w:t>
      </w:r>
    </w:p>
    <w:p>
      <w:pPr>
        <w:keepNext/>
        <w:keepLines/>
      </w:pPr>
      <w:r>
        <w:rPr>
          <w:b/>
        </w:rPr>
        <w:t xml:space="preserve">Why this qualifies.  </w:t>
      </w:r>
      <w:r>
        <w:t>A federal wartime laboratory displaced an established small homesteading and school community to serve national defense.</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late 1942–1943. The Army acquired the Pajarito Plateau for the wartime weapons laboratory, removing homesteaders and closing the Los Alamos Ranch School.</w:t>
      </w:r>
    </w:p>
    <w:p>
      <w:pPr>
        <w:keepLines/>
      </w:pPr>
      <w:r>
        <w:rPr>
          <w:b/>
        </w:rPr>
        <w:t xml:space="preserve">Worksite and group record.  </w:t>
      </w:r>
      <w:r>
        <w:t>NPS records identify local Hispanic and other homesteaders who abandoned cabins and farm use; 12 homesteads remained with original owners and seven with their families at acquisition, while the established ranch school closed.</w:t>
      </w:r>
    </w:p>
    <w:p>
      <w:pPr>
        <w:keepLines/>
      </w:pPr>
      <w:r>
        <w:rPr>
          <w:b/>
        </w:rPr>
        <w:t xml:space="preserve">Causation and legal limits.  </w:t>
      </w:r>
      <w:r>
        <w:t>Some residents later worked at the laboratory. Tribal cultural and land interests are distinct from a homestead owner's loss; property and school settlements must be credited.</w:t>
      </w:r>
    </w:p>
    <w:p>
      <w:pPr>
        <w:keepLines/>
      </w:pPr>
      <w:r>
        <w:rPr>
          <w:b/>
        </w:rPr>
        <w:t xml:space="preserve">Further event evidence.  </w:t>
      </w:r>
      <w:r>
        <w:t>Match the 1942 acquisition files to homesteads, seasonal farm uses, ranch school business and later work.</w:t>
      </w:r>
    </w:p>
    <w:p>
      <w:pPr>
        <w:keepLines/>
        <w:spacing w:after="120"/>
      </w:pPr>
      <w:r>
        <w:rPr>
          <w:b/>
        </w:rPr>
        <w:t xml:space="preserve">Sources and citation check.  </w:t>
      </w:r>
      <w:hyperlink r:id="rId212">
        <w:r>
          <w:rPr>
            <w:color w:val="185B83"/>
            <w:u w:val="single"/>
          </w:rPr>
          <w:t>Manhattan Project Los Alamos laboratory site acquisition (home.nps.gov)</w:t>
        </w:r>
      </w:hyperlink>
      <w:r>
        <w:t xml:space="preserve">; </w:t>
      </w:r>
      <w:hyperlink r:id="rId213">
        <w:r>
          <w:rPr>
            <w:color w:val="185B83"/>
            <w:u w:val="single"/>
          </w:rPr>
          <w:t>Additional legal or source record (nps.gov)</w:t>
        </w:r>
      </w:hyperlink>
      <w:r>
        <w:t xml:space="preserve">.  </w:t>
      </w:r>
      <w:r>
        <w:t>NPS documents homesteader and school removal and a 19-homestead original/family ownership subset, not total displaced individuals.</w:t>
      </w:r>
    </w:p>
    <w:p>
      <w:pPr>
        <w:pStyle w:val="Heading2"/>
      </w:pPr>
      <w:r>
        <w:t>C-260  1943 Hanford Manhattan Project land requisition</w:t>
      </w:r>
    </w:p>
    <w:p>
      <w:pPr>
        <w:keepNext/>
        <w:keepLines/>
      </w:pPr>
      <w:r>
        <w:rPr>
          <w:b/>
        </w:rPr>
        <w:t xml:space="preserve">Why this qualifies.  </w:t>
      </w:r>
      <w:r>
        <w:t>A national-defense land requisition removed established farms, homes and businesses in one local area for a wider wartime project.</w:t>
      </w:r>
    </w:p>
    <w:p>
      <w:pPr>
        <w:keepLines/>
      </w:pPr>
      <w:r>
        <w:rPr>
          <w:b/>
        </w:rPr>
        <w:t xml:space="preserve">Screening disposition.  </w:t>
      </w:r>
      <w:r>
        <w:t>Qualifying event for this register; worksite and group-specific effects remain to be measured.</w:t>
      </w:r>
    </w:p>
    <w:p>
      <w:pPr>
        <w:keepLines/>
      </w:pPr>
      <w:r>
        <w:rPr>
          <w:b/>
        </w:rPr>
        <w:t xml:space="preserve">Government action and scope.  </w:t>
      </w:r>
      <w:r>
        <w:t>United States / Army Corps of Engineers | March 1943 acquisition and removal. The United States took Columbia River land for the Hanford plutonium-production project, ordering residents out on short notice for wartime defense work.</w:t>
      </w:r>
    </w:p>
    <w:p>
      <w:pPr>
        <w:keepLines/>
      </w:pPr>
      <w:r>
        <w:rPr>
          <w:b/>
        </w:rPr>
        <w:t xml:space="preserve">Worksite and group record.  </w:t>
      </w:r>
      <w:r>
        <w:t>NPS reports roughly 1,500 residents in White Bluffs, Hanford, Richland and nearby communities affected, including farmers and local enterprises; some owners had 30–90 days to leave.</w:t>
      </w:r>
    </w:p>
    <w:p>
      <w:pPr>
        <w:keepLines/>
      </w:pPr>
      <w:r>
        <w:rPr>
          <w:b/>
        </w:rPr>
        <w:t xml:space="preserve">Causation and legal limits.  </w:t>
      </w:r>
      <w:r>
        <w:t>Initial settlements, wartime replacement work and Native land and use interests differ by group; the 1,500 is a population estimate, not a job-loss or unpaid-claim count.</w:t>
      </w:r>
    </w:p>
    <w:p>
      <w:pPr>
        <w:keepLines/>
      </w:pPr>
      <w:r>
        <w:rPr>
          <w:b/>
        </w:rPr>
        <w:t xml:space="preserve">Further event evidence.  </w:t>
      </w:r>
      <w:r>
        <w:t>Review requisition, farm and business records and original settlements; separate tribal use interests from private holdings.</w:t>
      </w:r>
    </w:p>
    <w:p>
      <w:pPr>
        <w:keepLines/>
        <w:spacing w:after="120"/>
      </w:pPr>
      <w:r>
        <w:rPr>
          <w:b/>
        </w:rPr>
        <w:t xml:space="preserve">Sources and citation check.  </w:t>
      </w:r>
      <w:hyperlink r:id="rId214">
        <w:r>
          <w:rPr>
            <w:color w:val="185B83"/>
            <w:u w:val="single"/>
          </w:rPr>
          <w:t>Manhattan Project Hanford site land requisition (nps.gov)</w:t>
        </w:r>
      </w:hyperlink>
      <w:r>
        <w:t xml:space="preserve">; </w:t>
      </w:r>
      <w:hyperlink r:id="rId215">
        <w:r>
          <w:rPr>
            <w:color w:val="185B83"/>
            <w:u w:val="single"/>
          </w:rPr>
          <w:t>Additional legal or source record (nps.gov)</w:t>
        </w:r>
      </w:hyperlink>
      <w:r>
        <w:t xml:space="preserve">.  </w:t>
      </w:r>
      <w:r>
        <w:t>NPS identifies communities, approximate resident group and short notice; site-specific compensation must be reconciled.</w:t>
      </w:r>
    </w:p>
    <w:sectPr w:rsidR="00FC693F" w:rsidRPr="0006063C" w:rsidSect="00034616">
      <w:headerReference w:type="default" r:id="rId9"/>
      <w:footerReference w:type="default" r:id="rId10"/>
      <w:pgSz w:w="12240" w:h="15840"/>
      <w:pgMar w:top="1080" w:right="1210" w:bottom="979" w:left="1210" w:header="504"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5"/>
      </w:rPr>
      <w:t xml:space="preserve">Working register  |  28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5"/>
      </w:rPr>
      <w:t>The Cornerstone Displacement Event Census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80"/>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Aptos" w:hAnsi="Aptos"/>
      <w:i w:val="0"/>
      <w:iCs/>
      <w:color w:val="000000"/>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rchives.gov/milestone-documents/14th-amendment" TargetMode="External"/><Relationship Id="rId12" Type="http://schemas.openxmlformats.org/officeDocument/2006/relationships/hyperlink" Target="https://www.gao.gov/assets/a234189.html" TargetMode="External"/><Relationship Id="rId13" Type="http://schemas.openxmlformats.org/officeDocument/2006/relationships/hyperlink" Target="https://www.gao.gov/products/gao-07-28" TargetMode="External"/><Relationship Id="rId14" Type="http://schemas.openxmlformats.org/officeDocument/2006/relationships/hyperlink" Target="https://www.archives.gov/education/lessons/volstead-act" TargetMode="External"/><Relationship Id="rId15" Type="http://schemas.openxmlformats.org/officeDocument/2006/relationships/hyperlink" Target="https://statutes.capitol.texas.gov/Docs/SDocs/AGRICULTURECODE.pdf" TargetMode="External"/><Relationship Id="rId16" Type="http://schemas.openxmlformats.org/officeDocument/2006/relationships/hyperlink" Target="https://www.ca5.uscourts.gov/opinions%5Cpub%5C05/05-11499-CV0.wpd.pdf" TargetMode="External"/><Relationship Id="rId17" Type="http://schemas.openxmlformats.org/officeDocument/2006/relationships/hyperlink" Target="https://www.ilga.gov/Documents/Legislation/PublicActs/95/PDF/095-0002.pdf" TargetMode="External"/><Relationship Id="rId18" Type="http://schemas.openxmlformats.org/officeDocument/2006/relationships/hyperlink" Target="https://law.justia.com/cases/federal/appellate-courts/ca7/07-2658/07-2658-2007-09-21.html" TargetMode="External"/><Relationship Id="rId19" Type="http://schemas.openxmlformats.org/officeDocument/2006/relationships/hyperlink" Target="https://www.flsenate.gov/Laws/Constitution" TargetMode="External"/><Relationship Id="rId20" Type="http://schemas.openxmlformats.org/officeDocument/2006/relationships/hyperlink" Target="https://media.ca11.uscourts.gov/opinions/pub/files/202012665.pdf" TargetMode="External"/><Relationship Id="rId21" Type="http://schemas.openxmlformats.org/officeDocument/2006/relationships/hyperlink" Target="https://wildlife.ca.gov/Licensing/Suction-Dredge-Permits" TargetMode="External"/><Relationship Id="rId22" Type="http://schemas.openxmlformats.org/officeDocument/2006/relationships/hyperlink" Target="https://law.justia.com/cases/california/supreme-court/2016/s222620.html" TargetMode="External"/><Relationship Id="rId23" Type="http://schemas.openxmlformats.org/officeDocument/2006/relationships/hyperlink" Target="https://www.epa.gov/archive/epa/aboutepa/ddt-regulatory-history-brief-survey-1975.html" TargetMode="External"/><Relationship Id="rId24" Type="http://schemas.openxmlformats.org/officeDocument/2006/relationships/hyperlink" Target="https://www.epa.gov/archive/epa/aboutepa/epa-takes-final-step-phaseout-leaded-gasoline.html" TargetMode="External"/><Relationship Id="rId25" Type="http://schemas.openxmlformats.org/officeDocument/2006/relationships/hyperlink" Target="https://www.epa.gov/pcbs/learn-about-polychlorinated-biphenyls" TargetMode="External"/><Relationship Id="rId26" Type="http://schemas.openxmlformats.org/officeDocument/2006/relationships/hyperlink" Target="https://www.epa.gov/assessing-and-managing-chemicals-under-tsca/risk-management-asbestos-part-1-chrysotile-asbestos" TargetMode="External"/><Relationship Id="rId27" Type="http://schemas.openxmlformats.org/officeDocument/2006/relationships/hyperlink" Target="https://www.epa.gov/assessing-and-managing-chemicals-under-tsca/risk-management-methylene-chloride" TargetMode="External"/><Relationship Id="rId28" Type="http://schemas.openxmlformats.org/officeDocument/2006/relationships/hyperlink" Target="https://dos.ny.gov/system/files/documents/2019/11/052919.pdf" TargetMode="External"/><Relationship Id="rId29" Type="http://schemas.openxmlformats.org/officeDocument/2006/relationships/hyperlink" Target="https://www.ecology.wa.gov/about-us/who-we-are/news/2026/july-31-state-s-only-coal-power-plant-shifting-to-natural-gas-serve-as-backup-power-for-region" TargetMode="External"/><Relationship Id="rId30" Type="http://schemas.openxmlformats.org/officeDocument/2006/relationships/hyperlink" Target="https://dps.ny.gov/about-indian-point-dob" TargetMode="External"/><Relationship Id="rId31" Type="http://schemas.openxmlformats.org/officeDocument/2006/relationships/hyperlink" Target="https://www.nrc.gov/documents-reports/document-collections/events-reports-associated-with/power-reactor-status-reports/2021/20210525ps" TargetMode="External"/><Relationship Id="rId32" Type="http://schemas.openxmlformats.org/officeDocument/2006/relationships/hyperlink" Target="https://dep.nj.gov/newsrel/11_0142/" TargetMode="External"/><Relationship Id="rId33" Type="http://schemas.openxmlformats.org/officeDocument/2006/relationships/hyperlink" Target="https://dep.nj.gov/wp-content/uploads/newsrel/2020/oyster_creek_decommissioning_faqs.pdf" TargetMode="External"/><Relationship Id="rId34" Type="http://schemas.openxmlformats.org/officeDocument/2006/relationships/hyperlink" Target="https://www.gao.gov/products/b-195265-0" TargetMode="External"/><Relationship Id="rId35" Type="http://schemas.openxmlformats.org/officeDocument/2006/relationships/hyperlink" Target="https://law.justia.com/cases/federal/appellate-courts/F2/724/1371/265053/" TargetMode="External"/><Relationship Id="rId36" Type="http://schemas.openxmlformats.org/officeDocument/2006/relationships/hyperlink" Target="https://research.fs.usda.gov/treesearch/29319" TargetMode="External"/><Relationship Id="rId37" Type="http://schemas.openxmlformats.org/officeDocument/2006/relationships/hyperlink" Target="https://uscode.house.gov/statutes/pl/101/626.pdf" TargetMode="External"/><Relationship Id="rId38" Type="http://schemas.openxmlformats.org/officeDocument/2006/relationships/hyperlink" Target="https://app.midpage.ai/document/alaska-pulp-corp-v-united-6652480" TargetMode="External"/><Relationship Id="rId39" Type="http://schemas.openxmlformats.org/officeDocument/2006/relationships/hyperlink" Target="https://laborstats.alaska.gov/trends/oct10art2.pdf" TargetMode="External"/><Relationship Id="rId40" Type="http://schemas.openxmlformats.org/officeDocument/2006/relationships/hyperlink" Target="https://www.gao.gov/assets/rced-91-133.pdf" TargetMode="External"/><Relationship Id="rId41" Type="http://schemas.openxmlformats.org/officeDocument/2006/relationships/hyperlink" Target="https://leginfo.legislature.ca.gov/faces/billNavClient.xhtml?bill_id=201720180SB1017" TargetMode="External"/><Relationship Id="rId42" Type="http://schemas.openxmlformats.org/officeDocument/2006/relationships/hyperlink" Target="https://media.fisheries.noaa.gov/dam-migration/36_west_salmon_press_noaa-sf.pdf" TargetMode="External"/><Relationship Id="rId43" Type="http://schemas.openxmlformats.org/officeDocument/2006/relationships/hyperlink" Target="https://www.fisheries.noaa.gov/bulletin/inseason-actions-2023-ocean-salmon-fisheries-south-cape-falcon-recreational-commercial" TargetMode="External"/><Relationship Id="rId44" Type="http://schemas.openxmlformats.org/officeDocument/2006/relationships/hyperlink" Target="https://www.fisheries.noaa.gov/bulletin/inseason-actions-2023-2024-ocean-salmon-fisheries-south-cape-falcon-recreational" TargetMode="External"/><Relationship Id="rId45" Type="http://schemas.openxmlformats.org/officeDocument/2006/relationships/hyperlink" Target="https://www.fisheries.noaa.gov/action/2025-ocean-salmon-specifications-and-management-measures" TargetMode="External"/><Relationship Id="rId46" Type="http://schemas.openxmlformats.org/officeDocument/2006/relationships/hyperlink" Target="https://www.fisheries.noaa.gov/bulletin/inseason-actions-23-25-ocean-salmon-fisheries-south-cape-falcon-recreational" TargetMode="External"/><Relationship Id="rId47" Type="http://schemas.openxmlformats.org/officeDocument/2006/relationships/hyperlink" Target="https://wildlife.ca.gov/Licensing/Fur" TargetMode="External"/><Relationship Id="rId48" Type="http://schemas.openxmlformats.org/officeDocument/2006/relationships/hyperlink" Target="https://www.courthousenews.com/wp-content/uploads/2021/03/fur-ban-ruling.pdf" TargetMode="External"/><Relationship Id="rId49" Type="http://schemas.openxmlformats.org/officeDocument/2006/relationships/hyperlink" Target="https://www.leginfo.legislature.ca.gov/faces/billTextClient.xhtml?bill_id=201920200AB44" TargetMode="External"/><Relationship Id="rId50" Type="http://schemas.openxmlformats.org/officeDocument/2006/relationships/hyperlink" Target="https://law.justia.com/cases/federal/appellate-courts/ca9/20-55882/20-55882-2022-05-06.html" TargetMode="External"/><Relationship Id="rId51" Type="http://schemas.openxmlformats.org/officeDocument/2006/relationships/hyperlink" Target="https://malegislature.gov/Laws/SessionLaws/Acts/2010/Chapter86" TargetMode="External"/><Relationship Id="rId52" Type="http://schemas.openxmlformats.org/officeDocument/2006/relationships/hyperlink" Target="https://malegislature.gov/Laws/SessionLaws/Acts/2008/Chapter388" TargetMode="External"/><Relationship Id="rId53" Type="http://schemas.openxmlformats.org/officeDocument/2006/relationships/hyperlink" Target="https://gaming.az.gov/racing/history" TargetMode="External"/><Relationship Id="rId54" Type="http://schemas.openxmlformats.org/officeDocument/2006/relationships/hyperlink" Target="https://www.gov.ca.gov/2019/10/12/governor-newsom-signs-package-of-bills-to-fight-animal-cruelty-promote-animal-welfare/" TargetMode="External"/><Relationship Id="rId55" Type="http://schemas.openxmlformats.org/officeDocument/2006/relationships/hyperlink" Target="https://codelibrary.amlegal.com/codes/chicago/latest/chicago_il/0-0-0-2647294" TargetMode="External"/><Relationship Id="rId56" Type="http://schemas.openxmlformats.org/officeDocument/2006/relationships/hyperlink" Target="https://law.justia.com/cases/south-carolina/supreme-court/2000/25158.html" TargetMode="External"/><Relationship Id="rId57" Type="http://schemas.openxmlformats.org/officeDocument/2006/relationships/hyperlink" Target="https://www.nccourts.gov/documents/appellate-court-opinions/hest-technologies-inc-v-state-of-nc-ex-rel-perdue" TargetMode="External"/><Relationship Id="rId58" Type="http://schemas.openxmlformats.org/officeDocument/2006/relationships/hyperlink" Target="https://difi.az.gov/faq/what-happened-payday-lender-difi-used-license" TargetMode="External"/><Relationship Id="rId59" Type="http://schemas.openxmlformats.org/officeDocument/2006/relationships/hyperlink" Target="https://law.justia.com/cases/federal/appellate-courts/ca8/18-2416/18-2416-2019-08-14.html" TargetMode="External"/><Relationship Id="rId60" Type="http://schemas.openxmlformats.org/officeDocument/2006/relationships/hyperlink" Target="https://dlr.sd.gov/banking/money_lenders/guidance_initiated_measure_21.aspx" TargetMode="External"/><Relationship Id="rId61" Type="http://schemas.openxmlformats.org/officeDocument/2006/relationships/hyperlink" Target="https://sosmt.gov/elections/ballot_issues/2010-2-2/i-164/" TargetMode="External"/><Relationship Id="rId62" Type="http://schemas.openxmlformats.org/officeDocument/2006/relationships/hyperlink" Target="https://healthcenter.mt.gov/_docs/bfid/Consumer-Loan/CL-I-164-Questionnaire.pdf" TargetMode="External"/><Relationship Id="rId63" Type="http://schemas.openxmlformats.org/officeDocument/2006/relationships/hyperlink" Target="https://www.mass.gov/files/documents/2019/09/24/Order-of-the-Commissioner-of-Public-Health-Vaping-Products-9-24-19.pdf" TargetMode="External"/><Relationship Id="rId64" Type="http://schemas.openxmlformats.org/officeDocument/2006/relationships/hyperlink" Target="https://www.mass.gov/files/documents/2019/10/08/Vaping-Ban-FAQ-10-3-19.pdf" TargetMode="External"/><Relationship Id="rId65" Type="http://schemas.openxmlformats.org/officeDocument/2006/relationships/hyperlink" Target="https://www.health.ny.gov/press/releases/2020/2020-05-18_fl_nicotine_vapor_products_ban.htm" TargetMode="External"/><Relationship Id="rId66" Type="http://schemas.openxmlformats.org/officeDocument/2006/relationships/hyperlink" Target="https://www.health.ny.gov/prevention/tobacco_control/docs/flavored_vape_product_restrictions_guidance.pdf" TargetMode="External"/><Relationship Id="rId67" Type="http://schemas.openxmlformats.org/officeDocument/2006/relationships/hyperlink" Target="https://malegislature.gov/Laws/SessionLaws/Acts/2019/Chapter133" TargetMode="External"/><Relationship Id="rId68" Type="http://schemas.openxmlformats.org/officeDocument/2006/relationships/hyperlink" Target="https://cdn.ca9.uscourts.gov/datastore/opinions/2022/03/18/20-55930.pdf" TargetMode="External"/><Relationship Id="rId69" Type="http://schemas.openxmlformats.org/officeDocument/2006/relationships/hyperlink" Target="https://shea.senate.ca.gov/sites/shea.senate.ca.gov/files/sb_793-bill_language.pdf" TargetMode="External"/><Relationship Id="rId70" Type="http://schemas.openxmlformats.org/officeDocument/2006/relationships/hyperlink" Target="https://www.supremecourt.gov/search.aspx?filename=%2Fdocket%2Fdocketfiles%2Fhtml%2Fpublic%2F22a474.html" TargetMode="External"/><Relationship Id="rId71" Type="http://schemas.openxmlformats.org/officeDocument/2006/relationships/hyperlink" Target="https://sfgov.legistar.com/gateway.aspx?id=34433&amp;m=l" TargetMode="External"/><Relationship Id="rId72" Type="http://schemas.openxmlformats.org/officeDocument/2006/relationships/hyperlink" Target="https://sfbos.org/sites/default/files/o0122-19.pdf" TargetMode="External"/><Relationship Id="rId73" Type="http://schemas.openxmlformats.org/officeDocument/2006/relationships/hyperlink" Target="https://www.beverlyhills.gov/276/Information-for-Businesses" TargetMode="External"/><Relationship Id="rId74" Type="http://schemas.openxmlformats.org/officeDocument/2006/relationships/hyperlink" Target="https://www.beverlyhills.gov/DocumentCenter/View/814/Ordinance-No-19-O-2783-PDF" TargetMode="External"/><Relationship Id="rId75" Type="http://schemas.openxmlformats.org/officeDocument/2006/relationships/hyperlink" Target="https://www.manhattanbeach.gov/Home/Components/News/News/4917/" TargetMode="External"/><Relationship Id="rId76" Type="http://schemas.openxmlformats.org/officeDocument/2006/relationships/hyperlink" Target="https://library.municode.com/ca/manhattan_beach/codes/code_of_ordinances?nodeId=TIT4PUWEMOCO_CH4.118PRRESATOPRELSMDE" TargetMode="External"/><Relationship Id="rId77" Type="http://schemas.openxmlformats.org/officeDocument/2006/relationships/hyperlink" Target="https://law.justia.com/cases/federal/appellate-courts/F3/192/1050/594040/" TargetMode="External"/><Relationship Id="rId78" Type="http://schemas.openxmlformats.org/officeDocument/2006/relationships/hyperlink" Target="https://www.supremecourt.gov/opinions/23pdf/22-976_e29g.pdf" TargetMode="External"/><Relationship Id="rId79" Type="http://schemas.openxmlformats.org/officeDocument/2006/relationships/hyperlink" Target="https://archive.epa.gov/pesticides/reregistration/web/html/endosulfan-agreement.html" TargetMode="External"/><Relationship Id="rId80" Type="http://schemas.openxmlformats.org/officeDocument/2006/relationships/hyperlink" Target="https://archive.epa.gov/pesticides/reregistration/web/html/carbofuran_noic.html" TargetMode="External"/><Relationship Id="rId81" Type="http://schemas.openxmlformats.org/officeDocument/2006/relationships/hyperlink" Target="https://www.epa.gov/ingredients-used-pesticide-products/pentachlorophenol" TargetMode="External"/><Relationship Id="rId82" Type="http://schemas.openxmlformats.org/officeDocument/2006/relationships/hyperlink" Target="https://www.epa.gov/ingredients-used-pesticide-products/submitting-indemnity-claim-epa-cancelled-dcpa-products" TargetMode="External"/><Relationship Id="rId83" Type="http://schemas.openxmlformats.org/officeDocument/2006/relationships/hyperlink" Target="https://www.epa.gov/ingredients-used-pesticide-products/frequently-asked-questions-about-current-status-chlorpyrifos" TargetMode="External"/><Relationship Id="rId84" Type="http://schemas.openxmlformats.org/officeDocument/2006/relationships/hyperlink" Target="https://www.epa.gov/pesticide-worker-safety/epa-update-use-pesticide-chlorpyrifos-food" TargetMode="External"/><Relationship Id="rId85" Type="http://schemas.openxmlformats.org/officeDocument/2006/relationships/hyperlink" Target="https://www.epa.gov/assessing-and-managing-chemicals-under-tsca/risk-management-trichloroethylene-tce" TargetMode="External"/><Relationship Id="rId86" Type="http://schemas.openxmlformats.org/officeDocument/2006/relationships/hyperlink" Target="https://www.epa.gov/assessing-and-managing-chemicals-under-tsca/persistent-bioaccumulative-and-toxic-pbt-chemicals" TargetMode="External"/><Relationship Id="rId87" Type="http://schemas.openxmlformats.org/officeDocument/2006/relationships/hyperlink" Target="https://www.epa.gov/hfcs/frequent-questions-phasedown-hydrofluorocarbons" TargetMode="External"/><Relationship Id="rId88" Type="http://schemas.openxmlformats.org/officeDocument/2006/relationships/hyperlink" Target="https://www.fda.gov/food/food-additives-petitions/final-determination-regarding-partially-hydrogenated-oils-removing-trans-fat" TargetMode="External"/><Relationship Id="rId89" Type="http://schemas.openxmlformats.org/officeDocument/2006/relationships/hyperlink" Target="https://www.fda.gov/food/dietary-supplements/information-select-dietary-supplement-ingredients-and-other-substances" TargetMode="External"/><Relationship Id="rId90" Type="http://schemas.openxmlformats.org/officeDocument/2006/relationships/hyperlink" Target="https://www.fda.gov/tobacco-products/rules-regulations-and-guidance-related-tobacco-products/section-907-federal-food-drug-and-cosmetic-act-tobacco-product-standards" TargetMode="External"/><Relationship Id="rId91" Type="http://schemas.openxmlformats.org/officeDocument/2006/relationships/hyperlink" Target="https://www.cpsc.gov/FAQ/Lawn-Darts" TargetMode="External"/><Relationship Id="rId92" Type="http://schemas.openxmlformats.org/officeDocument/2006/relationships/hyperlink" Target="https://www.cpsc.gov/Business--Manufacturing/Business-Education/Business-Guidance/Asbestos" TargetMode="External"/><Relationship Id="rId93" Type="http://schemas.openxmlformats.org/officeDocument/2006/relationships/hyperlink" Target="https://www.cpsc.gov/Business--Manufacturing/Business-Education/Lead/Lead-in-Paint" TargetMode="External"/><Relationship Id="rId94" Type="http://schemas.openxmlformats.org/officeDocument/2006/relationships/hyperlink" Target="https://www.cpsc.gov/Business--Manufacturing/Business-Education/Business-Guidance/Inclined-Sleepers" TargetMode="External"/><Relationship Id="rId95" Type="http://schemas.openxmlformats.org/officeDocument/2006/relationships/hyperlink" Target="https://www.cpsc.gov/Business--Manufacturing/Business-Education/Business-Guidance/Crib-Bumpers" TargetMode="External"/><Relationship Id="rId96" Type="http://schemas.openxmlformats.org/officeDocument/2006/relationships/hyperlink" Target="https://www.cpsc.gov/Newsroom/News-Releases/1988/CPSC-Approves-Consent-Decrees-for-All-Terrain-Vehicles" TargetMode="External"/><Relationship Id="rId97" Type="http://schemas.openxmlformats.org/officeDocument/2006/relationships/hyperlink" Target="https://www.fws.gov/law/wild-bird-conservation-act" TargetMode="External"/><Relationship Id="rId98" Type="http://schemas.openxmlformats.org/officeDocument/2006/relationships/hyperlink" Target="https://www.fws.gov/press-release/2016-06/administration-takes-bold-step-african-elephant-conservation-completes-near" TargetMode="External"/><Relationship Id="rId99" Type="http://schemas.openxmlformats.org/officeDocument/2006/relationships/hyperlink" Target="https://www.fisheries.noaa.gov/national/laws-policies/frequently-asked-questions-shark-fin-sales-elimination-act-2023" TargetMode="External"/><Relationship Id="rId100" Type="http://schemas.openxmlformats.org/officeDocument/2006/relationships/hyperlink" Target="https://www.maine.gov/legis/general/history/hstry8.htm" TargetMode="External"/><Relationship Id="rId101" Type="http://schemas.openxmlformats.org/officeDocument/2006/relationships/hyperlink" Target="https://www.kansashistory.gov/kansapedia/prohibition/14523" TargetMode="External"/><Relationship Id="rId102" Type="http://schemas.openxmlformats.org/officeDocument/2006/relationships/hyperlink" Target="https://www.wlf.louisiana.gov/page/alligator-management" TargetMode="External"/><Relationship Id="rId103" Type="http://schemas.openxmlformats.org/officeDocument/2006/relationships/hyperlink" Target="https://oag.ca.gov/news/press-releases/attorney-general-lockyer-announces-felony-charges-against-mendocino-abalone" TargetMode="External"/><Relationship Id="rId104" Type="http://schemas.openxmlformats.org/officeDocument/2006/relationships/hyperlink" Target="https://ceqanet.lci.ca.gov/1997108090" TargetMode="External"/><Relationship Id="rId105" Type="http://schemas.openxmlformats.org/officeDocument/2006/relationships/hyperlink" Target="https://www.legis.la.gov/Legis/BillInfo.aspx?i=206503" TargetMode="External"/><Relationship Id="rId106" Type="http://schemas.openxmlformats.org/officeDocument/2006/relationships/hyperlink" Target="https://media.ca1.uscourts.gov/pdf.opinions/19-2236P-01A.pdf" TargetMode="External"/><Relationship Id="rId107" Type="http://schemas.openxmlformats.org/officeDocument/2006/relationships/hyperlink" Target="https://lawfilesext.leg.wa.gov/biennium/2001-02/Htm/Initiatives/Initiatives/INITIATIVE%20713.SL.htm" TargetMode="External"/><Relationship Id="rId108" Type="http://schemas.openxmlformats.org/officeDocument/2006/relationships/hyperlink" Target="https://historicalelectiondata.coloradosos.gov/contest/12785" TargetMode="External"/><Relationship Id="rId109" Type="http://schemas.openxmlformats.org/officeDocument/2006/relationships/hyperlink" Target="https://historicalelectiondata.coloradosos.gov/contest/8236" TargetMode="External"/><Relationship Id="rId110" Type="http://schemas.openxmlformats.org/officeDocument/2006/relationships/hyperlink" Target="https://olis.oregonlegislature.gov/liz/2019R1/Downloads/CommitteeMeetingDocument/154516" TargetMode="External"/><Relationship Id="rId111" Type="http://schemas.openxmlformats.org/officeDocument/2006/relationships/hyperlink" Target="https://dec.ny.gov/environmental-protection/recycling-composting/plastic-bag-waste-reduction" TargetMode="External"/><Relationship Id="rId112" Type="http://schemas.openxmlformats.org/officeDocument/2006/relationships/hyperlink" Target="https://oag.ca.gov/consumers/bag-ban" TargetMode="External"/><Relationship Id="rId113" Type="http://schemas.openxmlformats.org/officeDocument/2006/relationships/hyperlink" Target="https://calrecycle.ca.gov/plastics/bagrequirements/" TargetMode="External"/><Relationship Id="rId114" Type="http://schemas.openxmlformats.org/officeDocument/2006/relationships/hyperlink" Target="https://leg.colorado.gov/bills/HB21-1162" TargetMode="External"/><Relationship Id="rId115" Type="http://schemas.openxmlformats.org/officeDocument/2006/relationships/hyperlink" Target="https://legislature.maine.gov/legis/bills/bills_129th/chapters/PUBLIC62.asp" TargetMode="External"/><Relationship Id="rId116" Type="http://schemas.openxmlformats.org/officeDocument/2006/relationships/hyperlink" Target="https://mde.maryland.gov/programs/LAND/RecyclingandOperationsprogram/Pages/Expanded-Polystyrene-Food-Service-Products-Ban.aspx" TargetMode="External"/><Relationship Id="rId117" Type="http://schemas.openxmlformats.org/officeDocument/2006/relationships/hyperlink" Target="https://dep.nj.gov/get-past-plastic/plastic-bags-polystyrene-foam/" TargetMode="External"/><Relationship Id="rId118" Type="http://schemas.openxmlformats.org/officeDocument/2006/relationships/hyperlink" Target="https://dec.ny.gov/environmental-protection/recycling-composting/go-foam-free" TargetMode="External"/><Relationship Id="rId119" Type="http://schemas.openxmlformats.org/officeDocument/2006/relationships/hyperlink" Target="https://data.capitol.hawaii.gov/sessions/sessionlaws/Years/SLH2010/SLH2010_Act148.pdf" TargetMode="External"/><Relationship Id="rId120" Type="http://schemas.openxmlformats.org/officeDocument/2006/relationships/hyperlink" Target="https://doee.dc.gov/release/district-foam-ban-takes-effect-january-1-2016" TargetMode="External"/><Relationship Id="rId121" Type="http://schemas.openxmlformats.org/officeDocument/2006/relationships/hyperlink" Target="https://dec.vermont.gov/waste-management/solid/materials-mgmt/single-use-products-law" TargetMode="External"/><Relationship Id="rId122" Type="http://schemas.openxmlformats.org/officeDocument/2006/relationships/hyperlink" Target="https://www.oregon.gov/deq/mm/production/pages/polystyrene.aspx" TargetMode="External"/><Relationship Id="rId123" Type="http://schemas.openxmlformats.org/officeDocument/2006/relationships/hyperlink" Target="https://www.nps.gov/shen/learn/historyculture/blue-ridge-heritage-project.htm" TargetMode="External"/><Relationship Id="rId124" Type="http://schemas.openxmlformats.org/officeDocument/2006/relationships/hyperlink" Target="https://www.nps.gov/shen/learn/historyculture/displaced.htm" TargetMode="External"/><Relationship Id="rId125" Type="http://schemas.openxmlformats.org/officeDocument/2006/relationships/hyperlink" Target="https://www.epa.gov/archive/epa/aboutepa/government-ban-fluorocarbon-gases-aerosol-products-begins-october-15-1978.html" TargetMode="External"/><Relationship Id="rId126" Type="http://schemas.openxmlformats.org/officeDocument/2006/relationships/hyperlink" Target="https://nepis.epa.gov/Exe/ZyPURL.cgi?Dockey=9100CQKC.TXT" TargetMode="External"/><Relationship Id="rId127" Type="http://schemas.openxmlformats.org/officeDocument/2006/relationships/hyperlink" Target="https://www.epa.gov/ods-phaseout/phaseout-ods-under-clean-air-act" TargetMode="External"/><Relationship Id="rId128" Type="http://schemas.openxmlformats.org/officeDocument/2006/relationships/hyperlink" Target="https://nepis.epa.gov/Exe/ZyPURL.cgi?Dockey=00000M2Q.TXT" TargetMode="External"/><Relationship Id="rId129" Type="http://schemas.openxmlformats.org/officeDocument/2006/relationships/hyperlink" Target="https://www.usbr.gov/watersmart//bsp/docs/klamath/fullreport.pdf" TargetMode="External"/><Relationship Id="rId130" Type="http://schemas.openxmlformats.org/officeDocument/2006/relationships/hyperlink" Target="https://pubs.usgs.gov/sir/2014/5054/" TargetMode="External"/><Relationship Id="rId131" Type="http://schemas.openxmlformats.org/officeDocument/2006/relationships/hyperlink" Target="https://www.fsa.usda.gov/Internet/FSA_WebContent/tb_tobacco_cc.html" TargetMode="External"/><Relationship Id="rId132" Type="http://schemas.openxmlformats.org/officeDocument/2006/relationships/hyperlink" Target="https://www.ers.usda.gov/amber-waves/2005/february/long-lived-tobacco-program-to-end" TargetMode="External"/><Relationship Id="rId133" Type="http://schemas.openxmlformats.org/officeDocument/2006/relationships/hyperlink" Target="https://www.nan.usace.army.mil/Missions/Environmental/Environmental-Remediation/BRAC/Fort-Monmouth/" TargetMode="External"/><Relationship Id="rId134" Type="http://schemas.openxmlformats.org/officeDocument/2006/relationships/hyperlink" Target="https://www.army.mil/article/49290/monmouth_separation_notices_to_be_issued_earlier" TargetMode="External"/><Relationship Id="rId135" Type="http://schemas.openxmlformats.org/officeDocument/2006/relationships/hyperlink" Target="https://ww2.arb.ca.gov/our-work/programs/phase-out-perchloroethylene-dry-cleaning-process" TargetMode="External"/><Relationship Id="rId136" Type="http://schemas.openxmlformats.org/officeDocument/2006/relationships/hyperlink" Target="https://ww2.arb.ca.gov/news/california-phase-out-use-perchloroethylene-dry-cleaning-process/printable/print" TargetMode="External"/><Relationship Id="rId137" Type="http://schemas.openxmlformats.org/officeDocument/2006/relationships/hyperlink" Target="https://www.cdph.ca.gov/Programs/CID/DCDC/CDPH%20Document%20Library/COVID-19/SHO%20Order%20Dimming%20Entire%20State%207-13-2020.pdf" TargetMode="External"/><Relationship Id="rId138" Type="http://schemas.openxmlformats.org/officeDocument/2006/relationships/hyperlink" Target="https://www.cdph.ca.gov/Programs/CID/DCDC/Pages/COVID-19/Guidance-on-Closure-of-Sectors-in-Response-to-COVID-19.aspx" TargetMode="External"/><Relationship Id="rId139" Type="http://schemas.openxmlformats.org/officeDocument/2006/relationships/hyperlink" Target="https://www.adfg.alaska.gov/static/applications/dcfnewsrelease/1441272349.pdf" TargetMode="External"/><Relationship Id="rId140" Type="http://schemas.openxmlformats.org/officeDocument/2006/relationships/hyperlink" Target="https://media.fisheries.noaa.gov/2022-10/bering-sea-snow-crab-closure-2022.pdf" TargetMode="External"/><Relationship Id="rId141" Type="http://schemas.openxmlformats.org/officeDocument/2006/relationships/hyperlink" Target="https://wildlife.ca.gov/News/Archive/cdfw-announces-closure-of-commercial-dungeness-crab-fishery-off-central-california-to-protect-humpback-whales1" TargetMode="External"/><Relationship Id="rId142" Type="http://schemas.openxmlformats.org/officeDocument/2006/relationships/hyperlink" Target="https://www.fisheries.noaa.gov/action/final-rule-amend-atlantic-large-whale-take-reduction-plan-reduce-risk-serious-injury-and" TargetMode="External"/><Relationship Id="rId143" Type="http://schemas.openxmlformats.org/officeDocument/2006/relationships/hyperlink" Target="https://www.fisheries.noaa.gov/feature-story/pot-trap-fisheries-regulations-help-save-north-atlantic-right-whales-announced" TargetMode="External"/><Relationship Id="rId144" Type="http://schemas.openxmlformats.org/officeDocument/2006/relationships/hyperlink" Target="https://www.fda.gov/cosmetics/cosmetics-laws-regulations/microbead-free-waters-act-faqs" TargetMode="External"/><Relationship Id="rId145" Type="http://schemas.openxmlformats.org/officeDocument/2006/relationships/hyperlink" Target="https://www.fda.gov/cosmetics/cosmetics-guidance-regulation/cosmetics-laws-regulations" TargetMode="External"/><Relationship Id="rId146" Type="http://schemas.openxmlformats.org/officeDocument/2006/relationships/hyperlink" Target="https://ww2.arb.ca.gov/news/carb-approves-updated-regulations-requiring-most-new-small-road-engines-be-zero-emission-2024?pubDate=20260402" TargetMode="External"/><Relationship Id="rId147" Type="http://schemas.openxmlformats.org/officeDocument/2006/relationships/hyperlink" Target="https://ww2.arb.ca.gov/sites/default/files/2025-06/Landscaper%20workgroup_5.28.2025_Revised.pdf" TargetMode="External"/><Relationship Id="rId148" Type="http://schemas.openxmlformats.org/officeDocument/2006/relationships/hyperlink" Target="https://www.cdfa.ca.gov/AHFSS/AnimalCare/docs/Prop12_SalesGuidance.pdf" TargetMode="External"/><Relationship Id="rId149" Type="http://schemas.openxmlformats.org/officeDocument/2006/relationships/hyperlink" Target="https://www.cdfa.ca.gov/AHFSS/AnimalCare/docs/Animal_Care_Producer_Pork.pdf" TargetMode="External"/><Relationship Id="rId150" Type="http://schemas.openxmlformats.org/officeDocument/2006/relationships/hyperlink" Target="https://www.aetc.af.mil/News/Article-Display/Article/3280984/former-kelly-air-force-base-wins-national-epa-excellence-award-in-site-reuse/" TargetMode="External"/><Relationship Id="rId151" Type="http://schemas.openxmlformats.org/officeDocument/2006/relationships/hyperlink" Target="https://www.af.mil/News/Article-Display/Article/126834/af-sacramento-agree-on-privatized-environmental-cleanup/" TargetMode="External"/><Relationship Id="rId152" Type="http://schemas.openxmlformats.org/officeDocument/2006/relationships/hyperlink" Target="https://www.gao.gov/assets/a111623.html" TargetMode="External"/><Relationship Id="rId153" Type="http://schemas.openxmlformats.org/officeDocument/2006/relationships/hyperlink" Target="https://www.gao.gov/assets/gao-13-436.pdf" TargetMode="External"/><Relationship Id="rId154" Type="http://schemas.openxmlformats.org/officeDocument/2006/relationships/hyperlink" Target="https://www.denix.osd.mil/armybrac/denix-files/sites/111/2005-BRAC-Commission-Report-to-the-President-Volume-2.pdf" TargetMode="External"/><Relationship Id="rId155" Type="http://schemas.openxmlformats.org/officeDocument/2006/relationships/hyperlink" Target="https://www.adfg.alaska.gov/static/fishing/pdfs/2021-2022_2022-2023_bristolbay_kingcrab_beringsea_snowcrab_request_letter.pdf" TargetMode="External"/><Relationship Id="rId156" Type="http://schemas.openxmlformats.org/officeDocument/2006/relationships/hyperlink" Target="https://newsrelease.adfg.alaska.gov/index.cfm?adfg=fishing.2021_2022_2022_2023_bristolbay_kingcrab_beringsea_snowcrab" TargetMode="External"/><Relationship Id="rId157" Type="http://schemas.openxmlformats.org/officeDocument/2006/relationships/hyperlink" Target="https://www.adfg.alaska.gov/static/fishing/pdfs/2021-2022_2022-2023_bbay_king_bering_snow_final_spend_plan.pdf" TargetMode="External"/><Relationship Id="rId158" Type="http://schemas.openxmlformats.org/officeDocument/2006/relationships/hyperlink" Target="https://www.adfg.alaska.gov/static/fishing/pdfs/23_24_snow_crab_third_draft_spend_plan.pdf" TargetMode="External"/><Relationship Id="rId159" Type="http://schemas.openxmlformats.org/officeDocument/2006/relationships/hyperlink" Target="https://www.adfg.alaska.gov/static/regulations/regprocess/fisheriesboard/pdfs/2024-2025/ws/npfmc-update-2024.pdf" TargetMode="External"/><Relationship Id="rId160" Type="http://schemas.openxmlformats.org/officeDocument/2006/relationships/hyperlink" Target="https://nrm.dfg.ca.gov/FileHandler.ashx?DocumentID=221424" TargetMode="External"/><Relationship Id="rId161" Type="http://schemas.openxmlformats.org/officeDocument/2006/relationships/hyperlink" Target="https://wildlife.ca.gov/Conservation/Marine/Whale-Safe-Fisheries" TargetMode="External"/><Relationship Id="rId162" Type="http://schemas.openxmlformats.org/officeDocument/2006/relationships/hyperlink" Target="https://wildlife.ca.gov/News/Archive/cdfw-closes-commercial-dungeness-crab-fishery-in-northern-management-area-to-protect-whales-from-entanglement" TargetMode="External"/><Relationship Id="rId163" Type="http://schemas.openxmlformats.org/officeDocument/2006/relationships/hyperlink" Target="https://wildlife.ca.gov/News/Archive/commercial-dungeness-crab-fishing-opportunity-continues-in-northern-management-area-will-close-in-central-management-area-to-protect-whales-from-entangleme" TargetMode="External"/><Relationship Id="rId164" Type="http://schemas.openxmlformats.org/officeDocument/2006/relationships/hyperlink" Target="https://www.bracpmo.navy.mil/BRAC-Bases/Southeast/Marine-Corps-Support-Activity-Kansas-City/" TargetMode="External"/><Relationship Id="rId165" Type="http://schemas.openxmlformats.org/officeDocument/2006/relationships/hyperlink" Target="https://www.bracpmo.navy.mil/BRAC-Bases/Southeast/Former-Naval-Station-Roosevelt-Roads/" TargetMode="External"/><Relationship Id="rId166" Type="http://schemas.openxmlformats.org/officeDocument/2006/relationships/hyperlink" Target="https://www.everycrsreport.com/reports/RS20458.html" TargetMode="External"/><Relationship Id="rId167" Type="http://schemas.openxmlformats.org/officeDocument/2006/relationships/hyperlink" Target="https://www.fisheries.noaa.gov/s3/2025-06/revised-sardine-rebuilding-plan-2025.pdf" TargetMode="External"/><Relationship Id="rId168" Type="http://schemas.openxmlformats.org/officeDocument/2006/relationships/hyperlink" Target="https://media.fisheries.noaa.gov/dam-migration/sardines_request_letter_c_17-057428_noaa-sf.pdf" TargetMode="External"/><Relationship Id="rId169" Type="http://schemas.openxmlformats.org/officeDocument/2006/relationships/hyperlink" Target="https://www.adfg.alaska.gov/static/fishing/pdfs/2021_2022_uci_essn_salmon_request_letter.pdf" TargetMode="External"/><Relationship Id="rId170" Type="http://schemas.openxmlformats.org/officeDocument/2006/relationships/hyperlink" Target="https://www.adfg.alaska.gov/static/fishing/pdfs/2021_2022_uci_essn_salmon_determination_letter.pdf" TargetMode="External"/><Relationship Id="rId171" Type="http://schemas.openxmlformats.org/officeDocument/2006/relationships/hyperlink" Target="https://www.adfg.alaska.gov/static/applications/dcfnewsrelease/1408717708.pdf" TargetMode="External"/><Relationship Id="rId172" Type="http://schemas.openxmlformats.org/officeDocument/2006/relationships/hyperlink" Target="https://www.adfg.alaska.gov/static/applications/dcfnewsrelease/1457990845.pdf" TargetMode="External"/><Relationship Id="rId173" Type="http://schemas.openxmlformats.org/officeDocument/2006/relationships/hyperlink" Target="https://www.adfg.alaska.gov/FedAidPDFs/FMR25-05.pdf" TargetMode="External"/><Relationship Id="rId174" Type="http://schemas.openxmlformats.org/officeDocument/2006/relationships/hyperlink" Target="https://www.adfg.alaska.gov/static/applications/dcfnewsrelease/1567376992.pdf" TargetMode="External"/><Relationship Id="rId175" Type="http://schemas.openxmlformats.org/officeDocument/2006/relationships/hyperlink" Target="https://www.adfg.alaska.gov/static/applications/dcfnewsrelease/1643887199.pdf" TargetMode="External"/><Relationship Id="rId176" Type="http://schemas.openxmlformats.org/officeDocument/2006/relationships/hyperlink" Target="https://www.fda.gov/news-events/press-announcements/fda-issues-final-rule-safety-and-effectiveness-antibacterial-soaps" TargetMode="External"/><Relationship Id="rId177" Type="http://schemas.openxmlformats.org/officeDocument/2006/relationships/hyperlink" Target="https://www.fda.gov/media/100063/download" TargetMode="External"/><Relationship Id="rId178" Type="http://schemas.openxmlformats.org/officeDocument/2006/relationships/hyperlink" Target="https://www.fda.gov/regulatory-information/search-fda-guidance-documents/consumer-antiseptic-rub-final-rule-questions-and-answers-guidance-industry" TargetMode="External"/><Relationship Id="rId179" Type="http://schemas.openxmlformats.org/officeDocument/2006/relationships/hyperlink" Target="https://www.fda.gov/media/129482/download" TargetMode="External"/><Relationship Id="rId180" Type="http://schemas.openxmlformats.org/officeDocument/2006/relationships/hyperlink" Target="https://www.fda.gov/food/food-additives-petitions/brominated-vegetable-oil-bvo" TargetMode="External"/><Relationship Id="rId181" Type="http://schemas.openxmlformats.org/officeDocument/2006/relationships/hyperlink" Target="https://www.fda.gov/media/179832/download" TargetMode="External"/><Relationship Id="rId182" Type="http://schemas.openxmlformats.org/officeDocument/2006/relationships/hyperlink" Target="https://leginfo.legislature.ca.gov/faces/billNavClient.xhtml?bill_id=201720180AB485" TargetMode="External"/><Relationship Id="rId183" Type="http://schemas.openxmlformats.org/officeDocument/2006/relationships/hyperlink" Target="https://www.gov.ca.gov/2020/09/18/ahead-of-national-puppy-mill-awareness-day-governor-newsom-signs-legislation-protecting-animal-welfare/" TargetMode="External"/><Relationship Id="rId184" Type="http://schemas.openxmlformats.org/officeDocument/2006/relationships/hyperlink" Target="https://mgaleg.maryland.gov/2018RS/Chapters_noln/CH_237_hb1662e.pdf" TargetMode="External"/><Relationship Id="rId185" Type="http://schemas.openxmlformats.org/officeDocument/2006/relationships/hyperlink" Target="https://mgaleg.maryland.gov/2018RS/fnotes/bil_0002/hb1662.pdf" TargetMode="External"/><Relationship Id="rId186" Type="http://schemas.openxmlformats.org/officeDocument/2006/relationships/hyperlink" Target="https://ag.ny.gov/sites/default/files/letters/letter-to-pet-dealers-for-press-release-redacted.pdf" TargetMode="External"/><Relationship Id="rId187" Type="http://schemas.openxmlformats.org/officeDocument/2006/relationships/hyperlink" Target="https://ag.ny.gov/press-release/2024/attorney-general-james-reminds-new-yorkers-selling-pets-retail-stores-will-be" TargetMode="External"/><Relationship Id="rId188" Type="http://schemas.openxmlformats.org/officeDocument/2006/relationships/hyperlink" Target="https://www.nyc.gov/site/dsny/businesses/materials-handling/foam-containers.page" TargetMode="External"/><Relationship Id="rId189" Type="http://schemas.openxmlformats.org/officeDocument/2006/relationships/hyperlink" Target="https://www.nyc.gov/site/sbs/businesses/polystyrene-foam-hardship-waiver-application.page" TargetMode="External"/><Relationship Id="rId190" Type="http://schemas.openxmlformats.org/officeDocument/2006/relationships/hyperlink" Target="https://www.gao.gov/assets/a118479.html" TargetMode="External"/><Relationship Id="rId191" Type="http://schemas.openxmlformats.org/officeDocument/2006/relationships/hyperlink" Target="https://www.nwo.usace.army.mil/Missions/Dam-and-Lake-Projects/Missouri-River-Dams/Garrison/" TargetMode="External"/><Relationship Id="rId192" Type="http://schemas.openxmlformats.org/officeDocument/2006/relationships/hyperlink" Target="https://www.nwo.usace.army.mil/Missions/Dam-and-Lake-Projects/Missouri-River-Dams/Oahe/lang/en/" TargetMode="External"/><Relationship Id="rId193" Type="http://schemas.openxmlformats.org/officeDocument/2006/relationships/hyperlink" Target="https://www.nwo.usace.army.mil/Media/Fact-Sheets/Fact-Sheet-Article-View/Article/610414/historical-vignette-the-pick-sloan-plan/" TargetMode="External"/><Relationship Id="rId194" Type="http://schemas.openxmlformats.org/officeDocument/2006/relationships/hyperlink" Target="https://home.nps.gov/laro/learn/historyculture/old-kettle-falls.htm" TargetMode="External"/><Relationship Id="rId195" Type="http://schemas.openxmlformats.org/officeDocument/2006/relationships/hyperlink" Target="https://www.nps.gov/parkhistory/online_books/laro/adhi/adhi2a.htm" TargetMode="External"/><Relationship Id="rId196" Type="http://schemas.openxmlformats.org/officeDocument/2006/relationships/hyperlink" Target="https://npgallery.nps.gov/GetAsset/1a96793d-1022-4b6c-96ff-3cec8d02dc98" TargetMode="External"/><Relationship Id="rId197" Type="http://schemas.openxmlformats.org/officeDocument/2006/relationships/hyperlink" Target="https://www.tva.com/energy/our-power-system/hydroelectric/norris" TargetMode="External"/><Relationship Id="rId198" Type="http://schemas.openxmlformats.org/officeDocument/2006/relationships/hyperlink" Target="https://www.tva.com/about-tva/our-history/built-for-the-people/the-town-that-wouldn-t-drown" TargetMode="External"/><Relationship Id="rId199" Type="http://schemas.openxmlformats.org/officeDocument/2006/relationships/hyperlink" Target="https://www.tva.com/energy/our-power-system/hydroelectric/watauga" TargetMode="External"/><Relationship Id="rId200" Type="http://schemas.openxmlformats.org/officeDocument/2006/relationships/hyperlink" Target="https://www.nps.gov/articles/000/executive-order-9066.htm" TargetMode="External"/><Relationship Id="rId201" Type="http://schemas.openxmlformats.org/officeDocument/2006/relationships/hyperlink" Target="https://www.archives.gov/education/lessons/japanese-relocation" TargetMode="External"/><Relationship Id="rId202" Type="http://schemas.openxmlformats.org/officeDocument/2006/relationships/hyperlink" Target="https://www.nyc.gov/site/lpc/about/pr2020/lpc-launches-seneca-village-unearthed-an-online-exhibit-and-collection-of-artifacts.page" TargetMode="External"/><Relationship Id="rId203" Type="http://schemas.openxmlformats.org/officeDocument/2006/relationships/hyperlink" Target="https://www.nycgovparks.org/about/history/historical-signs/listings?id=13602" TargetMode="External"/><Relationship Id="rId204" Type="http://schemas.openxmlformats.org/officeDocument/2006/relationships/hyperlink" Target="https://www.ncpc.gov/about/history/" TargetMode="External"/><Relationship Id="rId205" Type="http://schemas.openxmlformats.org/officeDocument/2006/relationships/hyperlink" Target="https://www.ncpc.gov/news/item/102/" TargetMode="External"/><Relationship Id="rId206" Type="http://schemas.openxmlformats.org/officeDocument/2006/relationships/hyperlink" Target="https://www.environment.fhwa.dot.gov/pubs_resources_tools/publications/case_studies/MI_Case_Study_FINAL_12-20.pdf" TargetMode="External"/><Relationship Id="rId207" Type="http://schemas.openxmlformats.org/officeDocument/2006/relationships/hyperlink" Target="https://www.fhwa.dot.gov/ipd/value_capture/capacity_building/michigan_i375_peer_workshop_121520/michigan_dot_i375.aspx" TargetMode="External"/><Relationship Id="rId208" Type="http://schemas.openxmlformats.org/officeDocument/2006/relationships/hyperlink" Target="https://www.cga.ct.gov/2004/rpt/2004-R-0393.htm" TargetMode="External"/><Relationship Id="rId209" Type="http://schemas.openxmlformats.org/officeDocument/2006/relationships/hyperlink" Target="https://www.law.cornell.edu/supremecourt/text/04-108" TargetMode="External"/><Relationship Id="rId210" Type="http://schemas.openxmlformats.org/officeDocument/2006/relationships/hyperlink" Target="https://www.nps.gov/mapr/learn/historyculture/oakridge-displacement.htm" TargetMode="External"/><Relationship Id="rId211" Type="http://schemas.openxmlformats.org/officeDocument/2006/relationships/hyperlink" Target="https://www.energy.gov/orem/history" TargetMode="External"/><Relationship Id="rId212" Type="http://schemas.openxmlformats.org/officeDocument/2006/relationships/hyperlink" Target="https://home.nps.gov/mapr/learn/historyculture/losalamos-displacement.htm" TargetMode="External"/><Relationship Id="rId213" Type="http://schemas.openxmlformats.org/officeDocument/2006/relationships/hyperlink" Target="https://www.nps.gov/articles/000/hispanic-homesteaders-and-the-los-alamos-national-laboratory.htm" TargetMode="External"/><Relationship Id="rId214" Type="http://schemas.openxmlformats.org/officeDocument/2006/relationships/hyperlink" Target="https://www.nps.gov/mapr/about-hanford.htm" TargetMode="External"/><Relationship Id="rId215" Type="http://schemas.openxmlformats.org/officeDocument/2006/relationships/hyperlink" Target="https://www.nps.gov/mapr/learn/historyculture/hanford-displaceme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Cornerstone Displacement Event Census</dc:title>
  <dc:subject>Qualifying public benefit and concentrated material burden events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