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File naming and organization</w:t>
      </w:r>
    </w:p>
    <w:p>
      <w:pPr>
        <w:pStyle w:val="Subtitle"/>
        <w:spacing w:after="140"/>
      </w:pPr>
      <w:r>
        <w:t>Not From Nowhere — naming and continuation guide, Working Research Edition 1.30-alpha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CORE RULE</w:t>
            </w:r>
          </w:p>
          <w:p>
            <w:pPr>
              <w:spacing w:after="40" w:line="259" w:lineRule="auto"/>
            </w:pPr>
            <w:r>
              <w:t>Use underscores between metadata fields and hyphens inside a field. Use ASCII characters, singular category prefixes, ISO dates (YYYY-MM-DD), and explicit status/version tokens. A filename should remain understandable when separated from every folder and message.</w:t>
            </w:r>
          </w:p>
        </w:tc>
      </w:tr>
    </w:tbl>
    <w:tbl>
      <w:tblPr>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tcMar>
              <w:top w:w="80" w:type="dxa"/>
              <w:start w:w="120" w:type="dxa"/>
              <w:bottom w:w="80" w:type="dxa"/>
              <w:end w:w="120" w:type="dxa"/>
            </w:tcMar>
            <w:shd w:fill="18263D"/>
            <w:vAlign w:val="center"/>
          </w:tcPr>
          <w:p>
            <w:pPr>
              <w:spacing w:after="0"/>
            </w:pPr>
            <w:r>
              <w:rPr>
                <w:rFonts w:ascii="DejaVu Sans" w:hAnsi="DejaVu Sans"/>
                <w:b/>
                <w:color w:val="FFFFFF"/>
                <w:sz w:val="15"/>
              </w:rPr>
              <w:t>Prefix</w:t>
            </w:r>
          </w:p>
        </w:tc>
        <w:tc>
          <w:tcPr>
            <w:tcW w:type="dxa" w:w="6910"/>
            <w:tcMar>
              <w:top w:w="80" w:type="dxa"/>
              <w:start w:w="120" w:type="dxa"/>
              <w:bottom w:w="80" w:type="dxa"/>
              <w:end w:w="120" w:type="dxa"/>
            </w:tcMar>
            <w:shd w:fill="18263D"/>
            <w:vAlign w:val="center"/>
          </w:tcPr>
          <w:p>
            <w:pPr>
              <w:spacing w:after="0"/>
            </w:pPr>
            <w:r>
              <w:rPr>
                <w:rFonts w:ascii="DejaVu Sans" w:hAnsi="DejaVu Sans"/>
                <w:b/>
                <w:color w:val="FFFFFF"/>
                <w:sz w:val="15"/>
              </w:rPr>
              <w:t>Use</w:t>
            </w:r>
          </w:p>
        </w:tc>
      </w:tr>
      <w:tr>
        <w:trPr>
          <w:cantSplit w:val="true"/>
        </w:trPr>
        <w:tc>
          <w:tcPr>
            <w:tcW w:type="dxa" w:w="2450"/>
            <w:vAlign w:val="top"/>
          </w:tcPr>
          <w:p>
            <w:pPr>
              <w:spacing w:after="0" w:line="247" w:lineRule="auto"/>
            </w:pPr>
            <w:r>
              <w:rPr>
                <w:rFonts w:ascii="DejaVu Sans" w:hAnsi="DejaVu Sans"/>
                <w:b/>
                <w:color w:val="253B5B"/>
                <w:sz w:val="15"/>
              </w:rPr>
              <w:t>book_</w:t>
            </w:r>
          </w:p>
        </w:tc>
        <w:tc>
          <w:tcPr>
            <w:tcW w:type="dxa" w:w="6910"/>
            <w:vAlign w:val="top"/>
          </w:tcPr>
          <w:p>
            <w:pPr>
              <w:spacing w:after="0" w:line="247" w:lineRule="auto"/>
            </w:pPr>
            <w:r>
              <w:rPr>
                <w:rFonts w:ascii="Bitstream Charter" w:hAnsi="Bitstream Charter"/>
                <w:sz w:val="15"/>
              </w:rPr>
              <w:t>Reader-facing narrative volumes and chapters.</w:t>
            </w:r>
          </w:p>
        </w:tc>
      </w:tr>
      <w:tr>
        <w:trPr>
          <w:cantSplit w:val="true"/>
        </w:trPr>
        <w:tc>
          <w:tcPr>
            <w:tcW w:type="dxa" w:w="2450"/>
            <w:shd w:fill="FAF8F3"/>
            <w:vAlign w:val="top"/>
          </w:tcPr>
          <w:p>
            <w:pPr>
              <w:spacing w:after="0" w:line="247" w:lineRule="auto"/>
            </w:pPr>
            <w:r>
              <w:rPr>
                <w:rFonts w:ascii="DejaVu Sans" w:hAnsi="DejaVu Sans"/>
                <w:b/>
                <w:color w:val="253B5B"/>
                <w:sz w:val="15"/>
              </w:rPr>
              <w:t>apparatus_</w:t>
            </w:r>
          </w:p>
        </w:tc>
        <w:tc>
          <w:tcPr>
            <w:tcW w:type="dxa" w:w="6910"/>
            <w:shd w:fill="FAF8F3"/>
            <w:vAlign w:val="top"/>
          </w:tcPr>
          <w:p>
            <w:r>
              <w:t>Footnotes, source codes, references, and rights records.</w:t>
            </w:r>
          </w:p>
        </w:tc>
      </w:tr>
      <w:tr>
        <w:trPr>
          <w:cantSplit w:val="true"/>
        </w:trPr>
        <w:tc>
          <w:tcPr>
            <w:tcW w:type="dxa" w:w="2450"/>
            <w:vAlign w:val="top"/>
          </w:tcPr>
          <w:p>
            <w:pPr>
              <w:spacing w:after="0" w:line="247" w:lineRule="auto"/>
            </w:pPr>
            <w:r>
              <w:rPr>
                <w:rFonts w:ascii="DejaVu Sans" w:hAnsi="DejaVu Sans"/>
                <w:b/>
                <w:color w:val="253B5B"/>
                <w:sz w:val="15"/>
              </w:rPr>
              <w:t>registry_</w:t>
            </w:r>
          </w:p>
        </w:tc>
        <w:tc>
          <w:tcPr>
            <w:tcW w:type="dxa" w:w="6910"/>
            <w:vAlign w:val="top"/>
          </w:tcPr>
          <w:p>
            <w:pPr>
              <w:spacing w:after="0" w:line="247" w:lineRule="auto"/>
            </w:pPr>
            <w:r>
              <w:rPr>
                <w:rFonts w:ascii="Bitstream Charter" w:hAnsi="Bitstream Charter"/>
                <w:sz w:val="15"/>
              </w:rPr>
              <w:t xml:space="preserve">Named polity dossiers, unnamed-polity evidence and separate unresolved-origin queues.</w:t>
            </w:r>
          </w:p>
        </w:tc>
      </w:tr>
      <w:tr>
        <w:trPr>
          <w:cantSplit w:val="true"/>
        </w:trPr>
        <w:tc>
          <w:tcPr>
            <w:tcW w:type="dxa" w:w="2450"/>
            <w:shd w:fill="FAF8F3"/>
            <w:vAlign w:val="top"/>
          </w:tcPr>
          <w:p>
            <w:pPr>
              <w:spacing w:after="0" w:line="247" w:lineRule="auto"/>
            </w:pPr>
            <w:r>
              <w:rPr>
                <w:rFonts w:ascii="DejaVu Sans" w:hAnsi="DejaVu Sans"/>
                <w:b/>
                <w:color w:val="253B5B"/>
                <w:sz w:val="15"/>
              </w:rPr>
              <w:t>guide_</w:t>
            </w:r>
          </w:p>
        </w:tc>
        <w:tc>
          <w:tcPr>
            <w:tcW w:type="dxa" w:w="6910"/>
            <w:shd w:fill="FAF8F3"/>
            <w:vAlign w:val="top"/>
          </w:tcPr>
          <w:p>
            <w:pPr>
              <w:spacing w:after="0" w:line="247" w:lineRule="auto"/>
            </w:pPr>
            <w:r>
              <w:rPr>
                <w:rFonts w:ascii="Bitstream Charter" w:hAnsi="Bitstream Charter"/>
                <w:sz w:val="15"/>
              </w:rPr>
              <w:t>Short operating rules and conventions.</w:t>
            </w:r>
          </w:p>
        </w:tc>
      </w:tr>
      <w:tr>
        <w:trPr>
          <w:cantSplit w:val="true"/>
        </w:trPr>
        <w:tc>
          <w:tcPr>
            <w:tcW w:type="dxa" w:w="2450"/>
            <w:vAlign w:val="top"/>
          </w:tcPr>
          <w:p>
            <w:pPr>
              <w:spacing w:after="0" w:line="247" w:lineRule="auto"/>
            </w:pPr>
            <w:r>
              <w:rPr>
                <w:rFonts w:ascii="DejaVu Sans" w:hAnsi="DejaVu Sans"/>
                <w:b/>
                <w:color w:val="253B5B"/>
                <w:sz w:val="15"/>
              </w:rPr>
              <w:t>image_</w:t>
            </w:r>
          </w:p>
        </w:tc>
        <w:tc>
          <w:tcPr>
            <w:tcW w:type="dxa" w:w="6910"/>
            <w:vAlign w:val="top"/>
          </w:tcPr>
          <w:p>
            <w:pPr>
              <w:spacing w:after="0" w:line="247" w:lineRule="auto"/>
            </w:pPr>
            <w:r>
              <w:rPr>
                <w:rFonts w:ascii="Bitstream Charter" w:hAnsi="Bitstream Charter"/>
                <w:sz w:val="15"/>
              </w:rPr>
              <w:t>Historical image or original interpretive artwork.</w:t>
            </w:r>
          </w:p>
        </w:tc>
      </w:tr>
      <w:tr>
        <w:trPr>
          <w:cantSplit w:val="true"/>
        </w:trPr>
        <w:tc>
          <w:tcPr>
            <w:tcW w:type="dxa" w:w="2450"/>
            <w:shd w:fill="FAF8F3"/>
            <w:vAlign w:val="top"/>
          </w:tcPr>
          <w:p>
            <w:pPr>
              <w:spacing w:after="0" w:line="247" w:lineRule="auto"/>
            </w:pPr>
            <w:r>
              <w:rPr>
                <w:rFonts w:ascii="DejaVu Sans" w:hAnsi="DejaVu Sans"/>
                <w:b/>
                <w:color w:val="253B5B"/>
                <w:sz w:val="15"/>
              </w:rPr>
              <w:t>map_ / chart_ / diagram_</w:t>
            </w:r>
          </w:p>
        </w:tc>
        <w:tc>
          <w:tcPr>
            <w:tcW w:type="dxa" w:w="6910"/>
            <w:shd w:fill="FAF8F3"/>
            <w:vAlign w:val="top"/>
          </w:tcPr>
          <w:p>
            <w:pPr>
              <w:spacing w:after="0" w:line="247" w:lineRule="auto"/>
            </w:pPr>
            <w:r>
              <w:rPr>
                <w:rFonts w:ascii="Bitstream Charter" w:hAnsi="Bitstream Charter"/>
                <w:sz w:val="15"/>
              </w:rPr>
              <w:t>Exact visual form; retain dataset/date in caption metadata.</w:t>
            </w:r>
          </w:p>
        </w:tc>
      </w:tr>
      <w:tr>
        <w:trPr>
          <w:cantSplit w:val="true"/>
        </w:trPr>
        <w:tc>
          <w:tcPr>
            <w:tcW w:type="dxa" w:w="2450"/>
            <w:vAlign w:val="top"/>
          </w:tcPr>
          <w:p>
            <w:pPr>
              <w:spacing w:after="0" w:line="247" w:lineRule="auto"/>
            </w:pPr>
            <w:r>
              <w:rPr>
                <w:rFonts w:ascii="DejaVu Sans" w:hAnsi="DejaVu Sans"/>
                <w:b/>
                <w:color w:val="253B5B"/>
                <w:sz w:val="15"/>
              </w:rPr>
              <w:t>source_ / transcript_ / data_</w:t>
            </w:r>
          </w:p>
        </w:tc>
        <w:tc>
          <w:tcPr>
            <w:tcW w:type="dxa" w:w="6910"/>
            <w:vAlign w:val="top"/>
          </w:tcPr>
          <w:p>
            <w:pPr>
              <w:spacing w:after="0" w:line="247" w:lineRule="auto"/>
            </w:pPr>
            <w:r>
              <w:rPr>
                <w:rFonts w:ascii="Bitstream Charter" w:hAnsi="Bitstream Charter"/>
                <w:sz w:val="15"/>
              </w:rPr>
              <w:t>Preserved evidence, transcription, or structured dataset; include archive and stable ID.</w:t>
            </w:r>
          </w:p>
        </w:tc>
      </w:tr>
      <w:tr>
        <w:trPr>
          <w:cantSplit w:val="true"/>
        </w:trPr>
        <w:tc>
          <w:tcPr>
            <w:tcW w:type="dxa" w:w="2450"/>
          </w:tcPr>
          <w:p>
            <w:pPr>
              <w:spacing w:after="0"/>
            </w:pPr>
            <w:r>
              <w:rPr>
                <w:rFonts w:ascii="DejaVu Sans" w:hAnsi="DejaVu Sans"/>
                <w:b/>
                <w:color w:val="253B5B"/>
                <w:sz w:val="14"/>
              </w:rPr>
              <w:t>image-budget_</w:t>
            </w:r>
          </w:p>
        </w:tc>
        <w:tc>
          <w:tcPr>
            <w:tcW w:type="dxa" w:w="6910"/>
          </w:tcPr>
          <w:p>
            <w:pPr>
              <w:spacing w:after="0"/>
            </w:pPr>
            <w:r>
              <w:rPr>
                <w:rFonts w:ascii="Bitstream Charter" w:hAnsi="Bitstream Charter"/>
                <w:sz w:val="14"/>
              </w:rPr>
              <w:t>Image rights, stock/Getty price when listed, unknown costs, credit lines, permissions, and publication actions.</w:t>
            </w:r>
          </w:p>
        </w:tc>
      </w:tr>
      <w:tr>
        <w:tc>
          <w:tcPr>
            <w:tcW w:type="dxa" w:w="2450"/>
          </w:tcPr>
          <w:p>
            <w:r>
              <w:t>correction-log_</w:t>
            </w:r>
          </w:p>
        </w:tc>
        <w:tc>
          <w:tcPr>
            <w:tcW w:type="dxa" w:w="6910"/>
          </w:tcPr>
          <w:p>
            <w:r>
              <w:t>Fact-check findings, field corrections, verification status, and unresolved issues.</w:t>
            </w:r>
          </w:p>
        </w:tc>
      </w:tr>
    </w:tbl>
    <w:p>
      <w:pPr>
        <w:pStyle w:val="Heading2"/>
      </w:pPr>
      <w:r>
        <w:t>Filename pattern</w:t>
      </w:r>
    </w:p>
    <w:p>
      <w:pPr>
        <w:spacing w:after="100"/>
      </w:pPr>
      <w:r>
        <w:rPr>
          <w:rFonts w:ascii="DejaVu Sans Mono" w:hAnsi="DejaVu Sans Mono"/>
          <w:b/>
          <w:color w:val="253B5B"/>
          <w:sz w:val="16"/>
        </w:rPr>
        <w:t>category_geography-or-nation_subject_date-or-period_status-or-version.ext</w:t>
      </w:r>
    </w:p>
    <w:p>
      <w:pPr>
        <w:spacing w:after="20"/>
        <w:ind w:left="259"/>
      </w:pPr>
      <w:r>
        <w:t>book_Not-From-Nowhere_atlas-working-research-edition_v1-30-alpha_2026-10-10.docx</w:t>
      </w:r>
    </w:p>
    <w:p>
      <w:pPr>
        <w:spacing w:after="20"/>
        <w:ind w:left="259"/>
      </w:pPr>
      <w:r>
        <w:rPr>
          <w:rFonts w:ascii="DejaVu Sans Mono" w:hAnsi="DejaVu Sans Mono"/>
          <w:sz w:val="14"/>
        </w:rPr>
        <w:t>image_Kongo_Afonso-court-letter_1526_reconstruction_2026-09-04.png</w:t>
      </w:r>
    </w:p>
    <w:p>
      <w:pPr>
        <w:spacing w:after="20"/>
        <w:ind w:left="259"/>
      </w:pPr>
      <w:r>
        <w:rPr>
          <w:rFonts w:ascii="DejaVu Sans Mono" w:hAnsi="DejaVu Sans Mono"/>
          <w:sz w:val="14"/>
        </w:rPr>
        <w:t>source_NARA-RG36_M1895-roll-07_manifest_1835-11-11.tif</w:t>
      </w:r>
    </w:p>
    <w:p>
      <w:pPr>
        <w:spacing w:after="20"/>
        <w:ind w:left="259"/>
      </w:pPr>
      <w:r>
        <w:rPr>
          <w:rFonts w:ascii="DejaVu Sans Mono" w:hAnsi="DejaVu Sans Mono"/>
          <w:sz w:val="14"/>
        </w:rPr>
        <w:t>transcript_Amistad_Sengbe-Pieh_testimony_1840_diplomatic-v1.txt</w:t>
      </w:r>
    </w:p>
    <w:p>
      <w:pPr>
        <w:spacing w:after="20"/>
        <w:ind w:left="259"/>
      </w:pPr>
      <w:r>
        <w:rPr>
          <w:rFonts w:ascii="DejaVu Sans Mono" w:hAnsi="DejaVu Sans Mono"/>
          <w:sz w:val="14"/>
        </w:rPr>
        <w:t>data_SlaveVoyages_estimates_1501-1866_accessed-2026-09-04.csv</w:t>
      </w:r>
    </w:p>
    <w:p>
      <w:pPr>
        <w:pStyle w:val="Heading2"/>
      </w:pPr>
      <w:r>
        <w:t>Version and provenance rules</w:t>
      </w:r>
    </w:p>
    <w:p>
      <w:pPr/>
      <w:r>
        <w:rPr>
          <w:i w:val="0"/>
        </w:rPr>
        <w:t>Never overwrite a source image or transcript. Use _v02, _v03, and so on for revisions; use _working-draft for unstable compilations; use _reconstruction for original interpretive art; reserve _verified for an item checked against the cited original. Keep the archive name and shelfmark/record ID in source filenames. Record creator, rights, source URL, access date, transformations, caption, and alt text in the scholarly apparatus.</w:t>
      </w:r>
    </w:p>
    <w:p>
      <w:r>
        <w:rPr>
          <w:b/>
        </w:rPr>
        <w:t>Version rule</w:t>
      </w:r>
    </w:p>
    <w:p>
      <w:pPr>
        <w:spacing w:after="40"/>
      </w:pPr>
      <w:r>
        <w:t>Use _vMAJOR-MINOR_ before the date for every milestone, for example book_Not-From-Nowhere_atlas-working-research-edition_v1-18-alpha_2026-09-17.docx. Never overwrite or rename an earlier version. The greatest version number is the latest; the date records the edition build.</w:t>
      </w:r>
    </w:p>
    <w:p>
      <w:pPr>
        <w:spacing w:before="60" w:after="0"/>
      </w:pPr>
      <w:r>
        <w:t>Atlas additions: prefix maps with map_[region]_[function]; images with image_[nation-or-region]_[subject]; audits with audit_[repository-family]_[version]; and fact-check records with correction-log_[project]_[version]. Preserve every earlier version and never overwrite a source image or transcript.</w:t>
      </w:r>
    </w:p>
    <w:p>
      <w:pPr>
        <w:spacing w:before="40" w:after="0"/>
      </w:pPr>
      <w:r>
        <w:t>Image-source rule: each used image receives one atlas ID and a full apparatus citation. Record repository and access-copy host separately; retain the repository rights statement; log every transformation; and never infer identity or nation from appearance.</w:t>
      </w:r>
    </w:p>
    <w:p>
      <w:pPr>
        <w:widowControl/>
        <w:spacing w:after="140" w:line="259" w:lineRule="auto"/>
      </w:pPr>
      <w:r>
        <w:t>Edition 1.18 continues page-seam derivatives named image_[case]_[witness]_[number-range]_[source-ID]_[version]_[access-date]. A repeated sitter never permits one exposure’s item, call, reproduction, digital ID, or rights fields to be copied to another; bind those fields to the exact object and derivative. Record PDF page, source raster, crop coordinates, resize, checksum, caption limit, and accessibility description. Name rulers, color targets, and targets as modern digitization equipment whenever visible. Probabilistic scientific regions stay in provenance fields and never enter the nation roster without independent named-polity evidence.</w:t>
      </w:r>
    </w:p>
    <w:p>
      <w:pPr>
        <w:pStyle w:val="NFW119H1"/>
        <w:pageBreakBefore/>
      </w:pPr>
      <w:r>
        <w:t>Current checkpoint and continuation</w:t>
      </w:r>
    </w:p>
    <w:p>
      <w:pPr>
        <w:pStyle w:val="NFW119Body"/>
      </w:pPr>
      <w:r>
        <w:t>Working Research Edition 1.30-alpha, 10 October 2026, succeeds Edition 1.29-alpha. It extends bounded Marinerito collation through row 351. This is a working checkpoint, not a certified final edition.</w:t>
      </w:r>
    </w:p>
    <w:p>
      <w:pPr>
        <w:pStyle w:val="NFW119Small"/>
      </w:pPr>
      <w:r>
        <w:t>Book: book_Not-From-Nowhere_atlas-working-research-edition_v1-30-alpha_2026-10-10.docx</w:t>
      </w:r>
    </w:p>
    <w:p>
      <w:pPr>
        <w:pStyle w:val="NFW119Small"/>
      </w:pPr>
      <w:r>
        <w:t>Apparatus: apparatus_Not-From-Nowhere_atlas_v1-30-alpha_2026-10-10.docx</w:t>
      </w:r>
    </w:p>
    <w:p>
      <w:pPr>
        <w:pStyle w:val="NFW119Small"/>
      </w:pPr>
      <w:r>
        <w:t>Registry: registry_African-Tribal-Nations_atlas_v1-30-alpha_2026-10-10.docx</w:t>
      </w:r>
    </w:p>
    <w:p>
      <w:pPr>
        <w:pStyle w:val="NFW119Small"/>
      </w:pPr>
      <w:r>
        <w:t>Guide: guide_Not-From-Nowhere_file-system_v1-30-alpha_2026-10-10.docx</w:t>
      </w:r>
    </w:p>
    <w:p>
      <w:pPr>
        <w:pStyle w:val="NFW119Small"/>
      </w:pPr>
      <w:r>
        <w:t>Image Budget: image-budget_Not-From-Nowhere_atlas_v1-30-alpha_2026-10-10.docx</w:t>
      </w:r>
    </w:p>
    <w:p>
      <w:pPr>
        <w:pStyle w:val="NFW119Small"/>
      </w:pPr>
      <w:r>
        <w:t>Correction Log: correction-log_Not-From-Nowhere_atlas_v1-30-alpha_2026-10-10.docx</w:t>
      </w:r>
    </w:p>
    <w:p>
      <w:pPr>
        <w:pStyle w:val="NFW119H2"/>
      </w:pPr>
      <w:r>
        <w:t>Resume from the recorded state</w:t>
      </w:r>
    </w:p>
    <w:p>
      <w:pPr>
        <w:pStyle w:val="NFW119Body"/>
      </w:pPr>
      <w:r>
        <w:t>Use Research Corpus 1.18 and the CP-018 application manifest, preserving Corpus 1.17 and all earlier work. Source-Evidence 1.2 remains unchanged; CP-018 controlled derivatives and transcripts are included in Corpus 1.18. Corpus 1.18 descends only from the exact validated Corpus 1.17 database and adds bounded CP-018 records. Original CP-011 schema equivalence, unrecovered CP-016 state and unexported database-only state remain open; no historical migration was replayed.</w:t>
      </w:r>
    </w:p>
    <w:p>
      <w:pPr>
        <w:pStyle w:val="NFW119Body"/>
      </w:pPr>
      <w:r>
        <w:t>For each work batch: read the prior source status; make the relevant document change; record exact source and image locations, uncertainty and inspection depth; save a dated checkpoint; then record render and audit results. A task may be reopened when materially new evidence appears, with the reason logged. A pending review must never be relabeled complete solely because files exist.</w:t>
      </w:r>
    </w:p>
    <w:p>
      <w:pPr>
        <w:pStyle w:val="NFW119Small"/>
      </w:pPr>
      <w:r>
        <w:t>Accepted Marinerito collation: rows 1–151; provisional rows 152–351 remain flagged, with row 352 the next untouched name row. The row-223 displacement remains unresolved. LOC-VIS: 65 of 84 baseline-reported objects controlled; 19 incomplete; LOC-VIS-083 unresolved.</w:t>
      </w:r>
    </w:p>
    <w:p>
      <w:pPr>
        <w:pStyle w:val="Heading1"/>
        <w:pageBreakBefore/>
      </w:pPr>
      <w:r>
        <w:t>Historical CP-015 checkpoint (preserved)</w:t>
      </w:r>
    </w:p>
    <w:p>
      <w:pPr/>
      <w:r>
        <w:t>Current main set: Working Research Edition 1.27-alpha, 7 October 2026. Current control corpus: 1.15, checkpoint CP-015. Preserve edition 1.26-alpha and all earlier versions. The standalone Venture Smith opening remains separate version 1.0.</w:t>
      </w:r>
    </w:p>
    <w:p>
      <w:pPr/>
      <w:r>
        <w:t>Keep the six current DOCX files in the same folder and preserve their exact filenames: the book’s 43 note links use the companion apparatus filename and stable bookmarks. Use the maintained guide_Not-From-Nowhere_LATEST.html and current-documents.json to find the exact current set. Move the complete extracted folder, not an isolated HTML index.</w:t>
      </w:r>
    </w:p>
    <w:p>
      <w:pPr/>
      <w:r>
        <w:t>Resume with precise page-level source bindings and atomic claim review. Accepted Marinerito collation remains 1–151; 152–251 are provisional and 252 is the next untouched name row. The displacement beginning at row 223 remains unresolved and must not be converted into person identities from resemblance. The Sierra Leone page-16 remarks leaf is controlled separately; full remarks linkage remains pending.</w:t>
      </w:r>
    </w:p>
    <w:p>
      <w:pPr/>
      <w:r>
        <w:t>This is a saved working checkpoint. Only gate 1 is closed; gates 2–9 remain in progress and gate 10 pending. CP-014 records a bounded manuscript-sequence extension, four exact source derivatives and their limits. It does not certify full polity dossiers, factual coverage, provenance, accessibility, rights, reader activation or every-page review.</w:t>
      </w:r>
    </w:p>
    <w:p>
      <w:r>
        <w:br w:type="page"/>
      </w:r>
    </w:p>
    <w:p>
      <w:pPr>
        <w:pStyle w:val="Heading1"/>
        <w:keepNext/>
      </w:pPr>
      <w:r>
        <w:t>CP-012 continuation note</w:t>
      </w:r>
    </w:p>
    <w:p>
      <w:pPr>
        <w:spacing w:after="80"/>
      </w:pPr>
      <w:r>
        <w:rPr>
          <w:b w:val="0"/>
          <w:i w:val="0"/>
          <w:sz w:val="18"/>
        </w:rPr>
        <w:t>Current main set: Working Research Edition 1.24-alpha, 4 October 2026. Current corpus: 1.12. Current checkpoint: CP-012. Preserve Edition 1.23-alpha, Corpus 1.11 and every earlier checkpoint.</w:t>
      </w:r>
    </w:p>
    <w:p>
      <w:pPr>
        <w:spacing w:after="80"/>
      </w:pPr>
      <w:r>
        <w:rPr>
          <w:b w:val="0"/>
          <w:i w:val="0"/>
          <w:sz w:val="18"/>
        </w:rPr>
        <w:t>Marinerito boundary: accepted rows 1–151; provisional rows 152–201; row 202 is next. Resume only from visible source pages and retain both witnesses separately. A higher-resolution derivative is not a new original, and a same-assistant rereading is not an independent qualified review.</w:t>
      </w:r>
    </w:p>
    <w:p>
      <w:pPr>
        <w:spacing w:after="80"/>
      </w:pPr>
      <w:r>
        <w:rPr>
          <w:b w:val="0"/>
          <w:i w:val="0"/>
          <w:sz w:val="18"/>
        </w:rPr>
        <w:t>Corpus recovery boundary: the saved Corpus 1.11 SQLite payload is truncated relative to its own page-count header and fails immutable integrity. Preserve it unchanged as evidence. Corpus 1.12 reconstructs queryable table rows from the complete CP-011 NDJSON exports and records that original indexes, triggers and foreign-key declarations could not be recovered from the truncated file. No historical migration was rerun.</w:t>
      </w:r>
    </w:p>
    <w:p>
      <w:pPr>
        <w:spacing w:after="80"/>
      </w:pPr>
      <w:r>
        <w:rPr>
          <w:b w:val="0"/>
          <w:i w:val="0"/>
          <w:sz w:val="18"/>
        </w:rPr>
        <w:t>Checkpoint QA is changed-page QA, not Gate 10. Render every document, inspect every changed and boundary page, record the exact pages reviewed, and keep the remaining every-page visual, reader-activation, provenance, relevance, rights and accessibility audits open.</w:t>
      </w:r>
    </w:p>
    <w:p>
      <w:pPr>
        <w:pStyle w:val="Heading1"/>
        <w:keepNext/>
      </w:pPr>
      <w:r>
        <w:t>CP-013 continuation note</w:t>
      </w:r>
    </w:p>
    <w:p>
      <w:pPr>
        <w:spacing w:after="120"/>
      </w:pPr>
      <w:r>
        <w:t>Current main set: Working Research Edition 1.25-alpha, 5 October 2026. Current corpus: 1.13. Current checkpoint: CP-013. Preserve Edition 1.24-alpha, Corpus 1.12 and every earlier checkpoint.</w:t>
      </w:r>
    </w:p>
    <w:p>
      <w:pPr>
        <w:spacing w:after="120"/>
      </w:pPr>
      <w:r>
        <w:t>Marinerito boundary: accepted rows 1–151; provisional rows 152–226; row 227 is next. At positions 223–226 the two witnesses visibly diverge. Preserve that divergence; do not infer an offset or identity match from name resemblance. A qualified second reading and full facing-page remarks linkage remain pending for all provisional rows.</w:t>
      </w:r>
    </w:p>
    <w:p>
      <w:pPr>
        <w:spacing w:after="120"/>
      </w:pPr>
      <w:r>
        <w:t>Corpus recovery boundary remains open: Corpus 1.13 descends from the CP-012 reconstruction made from complete CP-011 NDJSON exports. The original indexes, triggers, primary/foreign-key declarations and any unexported database-only state remain unrecovered. No historical migration was rerun.</w:t>
      </w:r>
    </w:p>
    <w:p>
      <w:pPr>
        <w:spacing w:after="120"/>
      </w:pPr>
      <w:r>
        <w:t>Checkpoint QA is changed-page QA, not Gate 10. Render every document, inspect every changed and boundary page, record the exact pages reviewed, and keep the remaining every-page visual, reader-activation, factual, provenance, relevance, rights and accessibility audits open.</w:t>
      </w:r>
    </w:p>
    <w:p>
      <w:pPr>
        <w:pStyle w:val="Heading1"/>
      </w:pPr>
      <w:r>
        <w:t>CP-014 continuation note</w:t>
      </w:r>
    </w:p>
    <w:p>
      <w:r>
        <w:t>Current main set: Working Research Edition 1.26-alpha, 6 October 2026. Current corpus: 1.14. Current checkpoint: CP-014. Preserve Edition 1.25-alpha, Corpus 1.13 and every earlier checkpoint.</w:t>
      </w:r>
    </w:p>
    <w:p>
      <w:r>
        <w:t>Marinerito boundary: accepted rows 1–151; provisional rows 152–251; row 252 is next. The positional displacement beginning at row 223 continues and remains unresolved. Preserve each witness separately; do not infer an offset or identity from resemblance. A qualified independent second reading and full facing-page remarks linkage remain pending for all provisional rows.</w:t>
      </w:r>
    </w:p>
    <w:p>
      <w:r>
        <w:t>Corpus recovery boundary remains open: Corpus 1.14 descends from the CP-012 reconstruction made from complete CP-011 NDJSON exports. The original indexes, triggers, primary/foreign-key declarations and any unexported database-only state remain unrecovered. No historical migration was rerun.</w:t>
      </w:r>
    </w:p>
    <w:p>
      <w:r>
        <w:t>Checkpoint QA is changed-page QA, not Gate 10. Render every document, inspect every changed and boundary page, record the exact pages reviewed, and keep the remaining every-page visual, reader-activation, factual, provenance, relevance, rights and accessibility audits open.</w:t>
      </w:r>
    </w:p>
    <w:p>
      <w:r>
        <w:br w:type="page"/>
      </w:r>
    </w:p>
    <w:p>
      <w:pPr>
        <w:pStyle w:val="Heading1"/>
      </w:pPr>
      <w:r>
        <w:t>CP-015 continuation note</w:t>
      </w:r>
    </w:p>
    <w:p>
      <w:pPr/>
      <w:r>
        <w:t>Current main set: Working Research Edition 1.27-alpha, 7 October 2026. Current corpus: 1.15. Current checkpoint: CP-015. Preserve Edition 1.26-alpha, Corpus 1.14 and every earlier checkpoint.</w:t>
      </w:r>
    </w:p>
    <w:p>
      <w:pPr/>
      <w:r>
        <w:t>Marinerito boundary: accepted rows 1–151; provisional rows 152–276; row 277 is next. The positional displacement beginning at row 223 remains unresolved. Preserve each witness separately; apparent shifted repetitions do not prove an offset or person identity. A qualified independent second reading and complete remarks linkage remain pending.</w:t>
      </w:r>
    </w:p>
    <w:p>
      <w:pPr/>
      <w:r>
        <w:t>Corpus recovery boundary remains open: Corpus 1.15 descends from the CP-012 reconstruction made from complete CP-011 NDJSON exports. The original indexes, triggers, primary/foreign-key declarations and any unexported CP-011 database-only state remain unrecovered. Do not replay historical migrations.</w:t>
      </w:r>
    </w:p>
    <w:p>
      <w:pPr/>
      <w:r>
        <w:t>Checkpoint QA is changed-page QA, not Gate 10. Render every document, inspect every changed and boundary page, record the exact pages reviewed, and keep the remaining every-page visual, reader-activation, factual, provenance, relevance, rights and accessibility audits open.</w:t>
      </w:r>
    </w:p>
    <w:p>
      <w:r>
        <w:br w:type="page"/>
      </w:r>
    </w:p>
    <w:p>
      <w:pPr>
        <w:pStyle w:val="Heading1"/>
      </w:pPr>
      <w:r>
        <w:t>CP-016 continuation note</w:t>
      </w:r>
    </w:p>
    <w:p>
      <w:r>
        <w:t>Current main set: Working Research Edition 1.28-alpha, 8 October 2026. Current corpus: 1.16. Current checkpoint: CP-016. Preserve Edition 1.27-alpha, Corpus 1.15 and every earlier checkpoint.</w:t>
      </w:r>
    </w:p>
    <w:p>
      <w:r>
        <w:t>Marinerito boundary: accepted rows 1–151; provisional rows 152–301; row 302 is next. The positional displacement beginning at row 223 remains unresolved. Preserve each witness separately; apparent shifted repetitions do not prove an offset or person identity. A qualified independent second reading and complete remarks linkage remain pending.</w:t>
      </w:r>
    </w:p>
    <w:p>
      <w:r>
        <w:t>Database correction: the exact Corpus 1.15 ZIP matches its package SHA, but the enclosed research.sqlite is malformed and conflicts with saved validation. Preserve that payload and validation unchanged. Corpus 1.16 starts from the intact Corpus 1.14 reconstruction, overlays only bounded CP-015 records recoverable from valid exports, and adds CP-016. The original CP-011 schema, indexes, triggers, constraints and unexported state remain unrecovered; do not claim schema equivalence or replay historical migrations.</w:t>
      </w:r>
    </w:p>
    <w:p>
      <w:r>
        <w:t>Checkpoint QA is changed-page QA, not Gate 10. Render every document, inspect every changed and boundary page, record exact pages reviewed, and keep remaining every-page visual, reader-activation, factual, provenance, relevance, rights and accessibility audits open.</w:t>
      </w:r>
    </w:p>
    <w:p>
      <w:r>
        <w:br w:type="page"/>
      </w:r>
    </w:p>
    <w:p>
      <w:pPr>
        <w:pStyle w:val="Heading1"/>
      </w:pPr>
      <w:r>
        <w:t>CP-017 continuation note</w:t>
      </w:r>
    </w:p>
    <w:p>
      <w:r>
        <w:t>Current main set: Working Research Edition 1.29-alpha, 9 October 2026. Current corpus: 1.17. Current checkpoint: CP-017. Preserve Edition 1.28-alpha, Corpus 1.16 and every earlier checkpoint.</w:t>
      </w:r>
    </w:p>
    <w:p>
      <w:r>
        <w:t>Marinerito boundary: accepted rows 1–151; provisional rows 152–326; row 327 is next. The positional displacement beginning at row 223 remains unresolved. Preserve each witness separately; apparent shifted repetitions do not prove an offset or person identity. Qualified independent second reading and row-by-row remarks linkage remain pending.</w:t>
      </w:r>
    </w:p>
    <w:p>
      <w:r>
        <w:t>Database correction: the exact saved Corpus 1.16 ZIP matches its recorded package SHA-256, but the enclosed research.sqlite is only 242,089,984 bytes although its header declares 377,954,304 bytes and normal/immutable reads report malformed. Preserve that payload and its prior validation unchanged. The CP-016 external_records export is also truncated at 50,069,504 bytes and 46,185 lines versus its inventory claim of 161,790 rows. Corpus 1.17 reconstructs from intact Corpus 1.14 plus all checksum-valid CP-016 exports, excludes that truncated export, retains the intact 161,790-row Corpus 1.14 external_records table without claiming equivalence, and then adds only CP-017 records. Original CP-011 schema equivalence and any unexported database-only state remain unrecovered; no historical migration was replayed.</w:t>
      </w:r>
    </w:p>
    <w:p>
      <w:r>
        <w:t>Checkpoint QA is changed-page QA, not Gate 10. Render every document, inspect every changed and boundary page, record exact pages reviewed, and keep remaining every-page visual, reader-activation, factual, provenance, rights and accessibility audits open.</w:t>
      </w:r>
    </w:p>
    <w:p>
      <w:pPr>
        <w:pStyle w:val="Heading1"/>
      </w:pPr>
      <w:r>
        <w:t>CP-018 continuation note</w:t>
      </w:r>
    </w:p>
    <w:p>
      <w:r>
        <w:t>Current main set: Working Research Edition 1.30-alpha, 10 October 2026. Current corpus: 1.18. Current checkpoint: CP-018. Preserve Edition 1.29-alpha, Corpus 1.17 and every earlier checkpoint.</w:t>
      </w:r>
    </w:p>
    <w:p>
      <w:r>
        <w:t>Marinerito boundary: accepted rows 1–151; provisional rows 152–351; row 352 is next. The positional displacement beginning at row 223 remains unresolved. Preserve each witness separately; apparent shifted repetitions do not prove an offset or person identity. Qualified independent second reading and row-by-row remarks linkage remain pending.</w:t>
      </w:r>
    </w:p>
    <w:p>
      <w:r>
        <w:t>Database boundary: Corpus 1.18 descends from the exact validated Corpus 1.17 database. The original CP-011 schema-equivalence issue, unrecovered CP-016 external-record state and any unexported database-only state remain open. No historical migration was replayed.</w:t>
      </w:r>
    </w:p>
    <w:p>
      <w:r>
        <w:t>Checkpoint QA is changed-page QA, not Gate 10. Render every document, inspect exact changed and boundary pages, record exact pages reviewed, and keep the remaining every-page visual, reader-activation, factual, provenance, relevance, rights and accessibility audits open.</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864" w:right="1440" w:bottom="79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6B675F"/>
        <w:sz w:val="16"/>
      </w:rPr>
      <w:t xml:space="preserve">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t>NOT FROM NOWHERE  |  WORKING EDITION 1.30-alpha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64" w:lineRule="auto"/>
    </w:pPr>
    <w:rPr>
      <w:rFonts w:ascii="Bitstream Charter" w:hAnsi="Bitstream Charter"/>
      <w:color w:val="201C18"/>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DejaVu Sans" w:hAnsi="DejaVu Sans"/>
      <w:b/>
      <w:bCs/>
      <w:color w:val="18263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A8792A"/>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DejaVu Sans" w:hAnsi="DejaVu Sans"/>
      <w:b/>
      <w:bCs/>
      <w:color w:val="253B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00" w:line="240" w:lineRule="auto" w:before="0"/>
      <w:contextualSpacing/>
    </w:pPr>
    <w:rPr>
      <w:rFonts w:asciiTheme="majorHAnsi" w:eastAsiaTheme="majorEastAsia" w:hAnsiTheme="majorHAnsi" w:cstheme="majorBidi" w:ascii="DejaVu Sans" w:hAnsi="DejaVu Sans"/>
      <w:b/>
      <w:color w:val="18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DejaVu Sans" w:hAnsi="DejaVu Sans"/>
      <w:b w:val="0"/>
      <w:i/>
      <w:iCs/>
      <w:color w:val="A8792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FW119Body">
    <w:name w:val="NFW119Body"/>
    <w:basedOn w:val="Normal"/>
    <w:pPr>
      <w:spacing w:after="140" w:line="259" w:lineRule="auto"/>
    </w:pPr>
    <w:rPr>
      <w:rFonts w:ascii="Bitstream Charter" w:hAnsi="Bitstream Charter"/>
      <w:color w:val="000000"/>
      <w:sz w:val="22"/>
    </w:rPr>
  </w:style>
  <w:style w:type="paragraph" w:customStyle="1" w:styleId="NFW119Small">
    <w:name w:val="NFW119Small"/>
    <w:basedOn w:val="Normal"/>
    <w:pPr>
      <w:spacing w:after="100" w:line="259" w:lineRule="auto"/>
    </w:pPr>
    <w:rPr>
      <w:rFonts w:ascii="Bitstream Charter" w:hAnsi="Bitstream Charter"/>
      <w:color w:val="000000"/>
      <w:sz w:val="18"/>
    </w:rPr>
  </w:style>
  <w:style w:type="paragraph" w:customStyle="1" w:styleId="NFW119H1">
    <w:name w:val="NFW119H1"/>
    <w:basedOn w:val="Heading1"/>
    <w:pPr>
      <w:keepNext/>
      <w:spacing w:after="100" w:line="259" w:lineRule="auto"/>
    </w:pPr>
    <w:rPr>
      <w:rFonts w:ascii="DejaVu Sans" w:hAnsi="DejaVu Sans"/>
      <w:color w:val="000000"/>
      <w:sz w:val="36"/>
    </w:rPr>
  </w:style>
  <w:style w:type="paragraph" w:customStyle="1" w:styleId="NFW119H2">
    <w:name w:val="NFW119H2"/>
    <w:basedOn w:val="Heading2"/>
    <w:pPr>
      <w:keepNext/>
      <w:spacing w:after="100" w:line="259" w:lineRule="auto"/>
    </w:pPr>
    <w:rPr>
      <w:rFonts w:ascii="DejaVu Sans" w:hAnsi="DejaVu Sans"/>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From Nowhere guide Working Research Edition 1.19 alpha</dc:title>
  <dc:subject>Working Research Edition 1.18-alpha</dc:subject>
  <dc:creator>python-docx</dc:creator>
  <cp:keywords/>
  <dc:description>Saved working checkpoint dated 2026-09-25. Final comprehensive QA is not certified by this save.</dc:description>
  <cp:lastModifiedBy/>
  <cp:revision>1</cp:revision>
  <dcterms:created xsi:type="dcterms:W3CDTF">2013-12-23T23:15:00Z</dcterms:created>
  <dcterms:modified xsi:type="dcterms:W3CDTF">2026-10-08T00:00:00Z</dcterms:modified>
  <cp:category/>
</cp:coreProperties>
</file>