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Garden National Restoration and Economic Self Government Act</w:t>
      </w:r>
    </w:p>
    <w:p>
      <w:pPr>
        <w:spacing w:after="240"/>
      </w:pPr>
      <w:r>
        <w:rPr>
          <w:sz w:val="20"/>
        </w:rPr>
        <w:t>Proposed federal legislation | Version 1.0 | September 28, 2026</w:t>
      </w:r>
    </w:p>
    <w:p>
      <w:pPr>
        <w:keepNext/>
        <w:jc w:val="center"/>
      </w:pPr>
      <w:r>
        <w:rPr>
          <w:b/>
        </w:rPr>
        <w:t>A BILL</w:t>
      </w:r>
    </w:p>
    <w:p>
      <w:pPr>
        <w:widowControl/>
      </w:pPr>
      <w:r>
        <w:t>To establish a process for descendants of persons enslaved in the United States and its predecessor colonies to constitute self-governing nations; to confer governmental powers modeled on those exercised by the Mohegan Tribe and the Mashantucket Pequot Tribal Nation; to authorize voluntary governmental compacts and conditional exclusive enterprises; and for other purposes.</w:t>
      </w:r>
    </w:p>
    <w:p>
      <w:pPr>
        <w:widowControl/>
      </w:pPr>
      <w:r>
        <w:t>Be it enacted by the Senate and House of Representatives of the United States of America in Congress assembled,</w:t>
      </w:r>
    </w:p>
    <w:p>
      <w:pPr>
        <w:pStyle w:val="Heading1"/>
      </w:pPr>
      <w:r>
        <w:t>TITLE I  PURPOSE AND DEFINITIONS</w:t>
      </w:r>
    </w:p>
    <w:p>
      <w:pPr>
        <w:pStyle w:val="Heading2"/>
      </w:pPr>
      <w:r>
        <w:t>SEC. 101. SHORT TITLE.</w:t>
      </w:r>
    </w:p>
    <w:p>
      <w:pPr>
        <w:widowControl/>
      </w:pPr>
      <w:r>
        <w:t>This Act may be cited as the “Garden National Restoration and Economic Self-Government Act”.</w:t>
      </w:r>
    </w:p>
    <w:p>
      <w:pPr>
        <w:pStyle w:val="Heading2"/>
      </w:pPr>
      <w:r>
        <w:t>SEC. 102. FINDINGS AND PURPOSES.</w:t>
      </w:r>
    </w:p>
    <w:p>
      <w:pPr>
        <w:widowControl/>
      </w:pPr>
      <w:r>
        <w:rPr>
          <w:b/>
        </w:rPr>
        <w:t>(a) Findings.—</w:t>
      </w:r>
      <w:r>
        <w:t>Congress finds that chattel slavery denied persons legal autonomy, separated families, appropriated labor, obstructed the acquisition and transmission of property, and disrupted relationships with communities of origin. Enslaved Africans came from diverse political and social communities. The existence, institutions, fate, and continuing descendants of any particular historic community must be established by evidence rather than presumed from a regional or ethnic name.</w:t>
      </w:r>
    </w:p>
    <w:p>
      <w:pPr>
        <w:widowControl/>
      </w:pPr>
      <w:r>
        <w:rPr>
          <w:b/>
        </w:rPr>
        <w:t>(b) Remedial determination.—</w:t>
      </w:r>
      <w:r>
        <w:t>Congress determines that the suppression of collective self-government and intergenerational economic capacity associated with chattel slavery warrants a voluntary institutional remedy directed to descendants of persons subjected to that system. Congress intends this Act as remedial legislation under section 2 of the Thirteenth Amendment, together with its powers over interstate commerce and other applicable constitutional powers. This declaration does not displace judicial review of the constitutional authority for any provision.</w:t>
      </w:r>
    </w:p>
    <w:p>
      <w:pPr>
        <w:widowControl/>
      </w:pPr>
      <w:r>
        <w:rPr>
          <w:b/>
        </w:rPr>
        <w:t>(c) Purposes.—</w:t>
      </w:r>
      <w:r>
        <w:t>The purposes of this Act are to enable eligible descendants to found and govern nations; establish a governmental relationship with the United States; provide defined legislative, executive, judicial, fiscal, and public-safety powers; facilitate voluntary agreements with States; and create economic opportunities through narrowly specified, conditional authorizations in otherwise closed markets.</w:t>
      </w:r>
    </w:p>
    <w:p>
      <w:pPr>
        <w:widowControl/>
      </w:pPr>
      <w:r>
        <w:rPr>
          <w:b/>
        </w:rPr>
        <w:t>(d) Governing model.—</w:t>
      </w:r>
      <w:r>
        <w:t>The institutional model is the exercise of domestic self-government by the Mohegan Tribe and the Mashantucket Pequot Tribal Nation, including their courts, taxation, public services, governmental enterprises, sovereign immunity, and intergovernmental agreements. The operative provisions of this Act confer the powers of a Garden nation. Neither the name of a nation nor a reference to the model tribes independently confers a treaty right, Indian status, jurisdiction, or exemption.</w:t>
      </w:r>
    </w:p>
    <w:p>
      <w:pPr>
        <w:pStyle w:val="Heading2"/>
      </w:pPr>
      <w:r>
        <w:t>SEC. 103. DEFINITIONS.</w:t>
      </w:r>
    </w:p>
    <w:p>
      <w:pPr>
        <w:keepNext/>
        <w:widowControl/>
      </w:pPr>
      <w:r>
        <w:t>For purposes of this Act:</w:t>
      </w:r>
    </w:p>
    <w:p>
      <w:pPr>
        <w:widowControl/>
      </w:pPr>
      <w:r>
        <w:rPr>
          <w:b/>
        </w:rPr>
        <w:t>(1) ELIGIBLE DESCENDANT.—</w:t>
      </w:r>
      <w:r>
        <w:t>The term means a United States citizen who is a lineal descendant of a person held in hereditary chattel slavery, under law or prevailing custom, before December 6, 1865, within territory now comprising a State or the District of Columbia, including predecessor colonies. Eligibility does not depend on the applicant’s present racial classification, appearance, or proportion of ancestry.</w:t>
      </w:r>
    </w:p>
    <w:p>
      <w:pPr>
        <w:widowControl/>
      </w:pPr>
      <w:r>
        <w:rPr>
          <w:b/>
        </w:rPr>
        <w:t>(2) GARDEN NATION OR NATION.—</w:t>
      </w:r>
      <w:r>
        <w:t>The term means a voluntary political community constituted and certified under title IV, formally denominated an African American Republican Tribal Nation. “Citizenship” in such a nation is additional to, and does not replace, United States citizenship.</w:t>
      </w:r>
    </w:p>
    <w:p>
      <w:pPr>
        <w:widowControl/>
      </w:pPr>
      <w:r>
        <w:rPr>
          <w:b/>
        </w:rPr>
        <w:t>(3) ASSEMBLY.—</w:t>
      </w:r>
      <w:r>
        <w:t>The term means the General Assembly of African American Republican Tribal Nations established under title V.</w:t>
      </w:r>
    </w:p>
    <w:p>
      <w:pPr>
        <w:widowControl/>
      </w:pPr>
      <w:r>
        <w:rPr>
          <w:b/>
        </w:rPr>
        <w:t>(4) SECRETARY.—</w:t>
      </w:r>
      <w:r>
        <w:t>The term means the Secretary of the Interior. The Secretary shall act through existing departmental structures and coordinate with the Attorney General and the Secretaries of the Treasury and Health and Human Services as required by this Act.</w:t>
      </w:r>
    </w:p>
    <w:p>
      <w:pPr>
        <w:widowControl/>
      </w:pPr>
      <w:r>
        <w:rPr>
          <w:b/>
        </w:rPr>
        <w:t>(5) STATE.—</w:t>
      </w:r>
      <w:r>
        <w:t>The term means one of the several States. Participation by the District of Columbia or a territory requires a subsequent Act of Congress providing the necessary adaptations.</w:t>
      </w:r>
    </w:p>
    <w:p>
      <w:pPr>
        <w:widowControl/>
      </w:pPr>
      <w:r>
        <w:rPr>
          <w:b/>
        </w:rPr>
        <w:t>(6) GARDEN LANDS.—</w:t>
      </w:r>
      <w:r>
        <w:t>The term means specifically described parcels designated under section 601, including parcels accepted in trust under that section. A commercial district is not Garden lands merely because a compact authorizes exclusive business activity within it.</w:t>
      </w:r>
    </w:p>
    <w:p>
      <w:pPr>
        <w:widowControl/>
      </w:pPr>
      <w:r>
        <w:rPr>
          <w:b/>
        </w:rPr>
        <w:t>(7) COMMERCIAL DISTRICT.—</w:t>
      </w:r>
      <w:r>
        <w:t>The term means the geographic market and boundaries expressly described in an enterprise compact. The description must identify the activities covered and account for internet sales, delivery, and other means of access to the market.</w:t>
      </w:r>
    </w:p>
    <w:p>
      <w:pPr>
        <w:widowControl/>
      </w:pPr>
      <w:r>
        <w:rPr>
          <w:b/>
        </w:rPr>
        <w:t>(8) COMPACT.—</w:t>
      </w:r>
      <w:r>
        <w:t>The term means an agreement ratified by a nation and an authorized State, certified under this Act, and, where required by section 601, approved by the affected unit of local government. A compact may address jurisdiction, enterprises, or both.</w:t>
      </w:r>
    </w:p>
    <w:p>
      <w:pPr>
        <w:widowControl/>
      </w:pPr>
      <w:r>
        <w:rPr>
          <w:b/>
        </w:rPr>
        <w:t>(9) QUALIFYING ENTERPRISE.—</w:t>
      </w:r>
      <w:r>
        <w:t>The term means an enterprise holding authority under a certified enterprise compact and satisfying section 1001. The term excludes an independent private investor solely by reason of its investment or contract.</w:t>
      </w:r>
    </w:p>
    <w:p>
      <w:pPr>
        <w:widowControl/>
      </w:pPr>
      <w:r>
        <w:rPr>
          <w:b/>
        </w:rPr>
        <w:t>(10) FOUNDING ROSTER.—</w:t>
      </w:r>
      <w:r>
        <w:t>The term means the published historical register established under title II. It records historical evidence and does not determine an individual’s ancestral affiliation or confer succession to a present-day foreign government.</w:t>
      </w:r>
    </w:p>
    <w:p>
      <w:pPr>
        <w:pStyle w:val="Heading1"/>
      </w:pPr>
      <w:r>
        <w:t>TITLE II  HISTORICAL CENSUS AND FOUNDING ROSTER</w:t>
      </w:r>
    </w:p>
    <w:p>
      <w:pPr>
        <w:pStyle w:val="Heading2"/>
      </w:pPr>
      <w:r>
        <w:t>SEC. 201. HISTORICAL CENSUS.</w:t>
      </w:r>
    </w:p>
    <w:p>
      <w:pPr>
        <w:widowControl/>
      </w:pPr>
      <w:r>
        <w:rPr>
          <w:b/>
        </w:rPr>
        <w:t>(a) Commissioning.—</w:t>
      </w:r>
      <w:r>
        <w:t>Subject to appropriations under title XI, the Secretary shall commission qualified historians, archivists, and other relevant specialists, through transparent competitive procedures, to prepare a Founding Roster. Selection shall consider expertise in African history, Atlantic slavery, relevant languages, and the interpretation of historical evidence. Conflicts of interest shall be disclosed.</w:t>
      </w:r>
    </w:p>
    <w:p>
      <w:pPr>
        <w:widowControl/>
      </w:pPr>
      <w:r>
        <w:rPr>
          <w:b/>
        </w:rPr>
        <w:t>(b) Contents.—</w:t>
      </w:r>
      <w:r>
        <w:t>Each entry shall state the evidence for a political community’s existence; its known names, period, and location; its institutions where ascertainable; its relationship to enslavement or slave trading; the evidence concerning disruption, destruction, continuity, and surviving communities; alternative explanations; and the limits of the record. Peoples, languages, trading ports, and broad regions shall not be designated polities without affirmative supporting evidence.</w:t>
      </w:r>
    </w:p>
    <w:p>
      <w:pPr>
        <w:widowControl/>
      </w:pPr>
      <w:r>
        <w:rPr>
          <w:b/>
        </w:rPr>
        <w:t>(c) Unnamed communities.—</w:t>
      </w:r>
      <w:r>
        <w:t>An entry may concern an unnamed historic polity only where affirmative evidence establishes the existence of a political community. A modern descriptive name based on a river or coast shall be identified as a new designation. An unknown birthplace or an unexplained ethnic label is insufficient by itself.</w:t>
      </w:r>
    </w:p>
    <w:p>
      <w:pPr>
        <w:widowControl/>
      </w:pPr>
      <w:r>
        <w:rPr>
          <w:b/>
        </w:rPr>
        <w:t>(d) Sources and participation.—</w:t>
      </w:r>
      <w:r>
        <w:t>The census shall publish citations and accessible evidence, observe source rights and privacy, and invite corrections from scholars and relevant African and descendant communities. No private book, database, organization, or author shall receive exclusive authority to determine the roster. Independently assessable research, including the project known as Not From Nowhere, may be submitted on the same terms as other evidence.</w:t>
      </w:r>
    </w:p>
    <w:p>
      <w:pPr>
        <w:pStyle w:val="Heading2"/>
      </w:pPr>
      <w:r>
        <w:t>SEC. 202. PUBLICATION AND CORRECTION.</w:t>
      </w:r>
    </w:p>
    <w:p>
      <w:pPr>
        <w:widowControl/>
      </w:pPr>
      <w:r>
        <w:rPr>
          <w:b/>
        </w:rPr>
        <w:t>(a) Schedule.—</w:t>
      </w:r>
      <w:r>
        <w:t>The Secretary shall publish an initial roster not later than 18 months after funds first become available. A public comment period of at least 180 days shall follow. The Secretary shall publish a revised roster, responses to material objections, and a correction procedure before founding enrollment closes.</w:t>
      </w:r>
    </w:p>
    <w:p>
      <w:pPr>
        <w:widowControl/>
      </w:pPr>
      <w:r>
        <w:rPr>
          <w:b/>
        </w:rPr>
        <w:t>(b) Review.—</w:t>
      </w:r>
      <w:r>
        <w:t>Any person may petition for addition, correction, or qualification of an entry. Decisions shall state the evidence and reasons and shall be subject to judicial review under chapter 7 of title 5, United States Code. A disputed identification shall remain visibly qualified while under review.</w:t>
      </w:r>
    </w:p>
    <w:p>
      <w:pPr>
        <w:widowControl/>
      </w:pPr>
      <w:r>
        <w:rPr>
          <w:b/>
        </w:rPr>
        <w:t>(c) Effect of correction.—</w:t>
      </w:r>
      <w:r>
        <w:t>A later historical correction shall not by itself dissolve a nation or cancel citizenship or a valid compact. The nation shall correct misleading historical representations and may amend its name or declared affiliation through its own constitution. Fraud in obtaining certification remains subject to title XII.</w:t>
      </w:r>
    </w:p>
    <w:p>
      <w:pPr>
        <w:pStyle w:val="Heading1"/>
      </w:pPr>
      <w:r>
        <w:t>TITLE III  FOUNDING CITIZENSHIP</w:t>
      </w:r>
    </w:p>
    <w:p>
      <w:pPr>
        <w:pStyle w:val="Heading2"/>
      </w:pPr>
      <w:r>
        <w:t>SEC. 301. ENROLLMENT AND EVIDENCE.</w:t>
      </w:r>
    </w:p>
    <w:p>
      <w:pPr>
        <w:widowControl/>
      </w:pPr>
      <w:r>
        <w:rPr>
          <w:b/>
        </w:rPr>
        <w:t>(a) Voluntary choice.—</w:t>
      </w:r>
      <w:r>
        <w:t>An eligible descendant may elect affiliation with one proposed nation during the founding period. The choice of historic affiliation belongs to that person. Neither the United States nor a State shall assign a person to an African origin, require proof of descent from the selected historic polity, or require genetic testing, a blood-quantum determination, or a racial classification.</w:t>
      </w:r>
    </w:p>
    <w:p>
      <w:pPr>
        <w:widowControl/>
      </w:pPr>
      <w:r>
        <w:rPr>
          <w:b/>
        </w:rPr>
        <w:t>(b) Eligibility evidence.—</w:t>
      </w:r>
      <w:r>
        <w:t>Founding eligibility shall be determined under uniform published standards by an enrollment body selected by each organizing community and subject to independent review under subsection (d). Evidence may include family records, public records, genealogical research, oral family history supported by contextual evidence, and sworn statements. The standard is a preponderance of the evidence, taking account of missing or destroyed records. A missing record alone shall not establish ineligibility; a bare unsupported assertion need not be accepted.</w:t>
      </w:r>
    </w:p>
    <w:p>
      <w:pPr>
        <w:widowControl/>
      </w:pPr>
      <w:r>
        <w:rPr>
          <w:b/>
        </w:rPr>
        <w:t>(c) Privacy and duplication.—</w:t>
      </w:r>
      <w:r>
        <w:t>Enrollment records shall be used only to administer citizenship, resolve duplicate founding enrollment, investigate material fraud, or comply with a lawful court order. Public reporting shall use aggregate figures. The Secretary shall establish a secure means of confirming that a person has one founding affiliation without publishing genealogical files. Commercial genetic data shall not be collected.</w:t>
      </w:r>
    </w:p>
    <w:p>
      <w:pPr>
        <w:widowControl/>
      </w:pPr>
      <w:r>
        <w:rPr>
          <w:b/>
        </w:rPr>
        <w:t>(d) Appeals.—</w:t>
      </w:r>
      <w:r>
        <w:t>An applicant shall receive notice of an adverse decision, its reasons, an opportunity to submit evidence, and review by an impartial decision maker who did not make the initial decision. After certification, the nation’s courts may perform this function subject to title XII. A pending timely appeal preserves the application for purposes of closing the rolls.</w:t>
      </w:r>
    </w:p>
    <w:p>
      <w:pPr>
        <w:pStyle w:val="Heading2"/>
      </w:pPr>
      <w:r>
        <w:t>SEC. 302. FOUNDING PERIOD AND LATER CITIZENSHIP.</w:t>
      </w:r>
    </w:p>
    <w:p>
      <w:pPr>
        <w:widowControl/>
      </w:pPr>
      <w:r>
        <w:rPr>
          <w:b/>
        </w:rPr>
        <w:t>(a) Period.—</w:t>
      </w:r>
      <w:r>
        <w:t>The founding period shall begin upon publication of the initial roster and remain open for 24 months, but shall not close earlier than 6 months after publication of the revised roster required by section 202. Before closure a person may correct an affiliation election. No exclusive commercial right shall be awarded until the founding rolls close and the affected nation’s founding election has been completed.</w:t>
      </w:r>
    </w:p>
    <w:p>
      <w:pPr>
        <w:widowControl/>
      </w:pPr>
      <w:r>
        <w:rPr>
          <w:b/>
        </w:rPr>
        <w:t>(b) Minors.—</w:t>
      </w:r>
      <w:r>
        <w:t>A parent or lawful guardian may enroll an eligible minor in one nation. The nation’s constitution shall provide a fair procedure for resolving conflicting parental applications and for the individual, on reaching adulthood, to affirm or renounce that citizenship. A minor’s provisional enrollment shall not authorize the purchase or sale of membership.</w:t>
      </w:r>
    </w:p>
    <w:p>
      <w:pPr>
        <w:widowControl/>
      </w:pPr>
      <w:r>
        <w:rPr>
          <w:b/>
        </w:rPr>
        <w:t>(c) Closure.—</w:t>
      </w:r>
      <w:r>
        <w:t>After closure, founding citizenship shall not be transferable, purchasable, or exchangeable for affiliation with another Garden nation. Timely applications and corrections of administrative error or fraud may be resolved afterward. Nations shall determine citizenship rules for children born after closure, including adoption, under their constitutions and applicable child-protection law. Those rules may not be used to sell adult admission or circumvent the closed founding rolls.</w:t>
      </w:r>
    </w:p>
    <w:p>
      <w:pPr>
        <w:widowControl/>
      </w:pPr>
      <w:r>
        <w:rPr>
          <w:b/>
        </w:rPr>
        <w:t>(d) Exit and ordinary citizenship.—</w:t>
      </w:r>
      <w:r>
        <w:t>A person may renounce national citizenship. Renunciation does not erase an accrued debt or a court judgment. National citizenship or its renunciation shall not alter eligibility to vote in United States, State, or local elections, or diminish rights held as a United States citizen. Participation does not release any separate legal claim unless the person knowingly enters a distinct, valid settlement of that claim.</w:t>
      </w:r>
    </w:p>
    <w:p>
      <w:pPr>
        <w:pStyle w:val="Heading1"/>
      </w:pPr>
      <w:r>
        <w:t>TITLE IV  RECOGNITION AND GOVERNMENTAL POWERS</w:t>
      </w:r>
    </w:p>
    <w:p>
      <w:pPr>
        <w:pStyle w:val="Heading2"/>
      </w:pPr>
      <w:r>
        <w:t>SEC. 401. CONSTITUTION AND CERTIFICATION.</w:t>
      </w:r>
    </w:p>
    <w:p>
      <w:pPr>
        <w:widowControl/>
      </w:pPr>
      <w:r>
        <w:rPr>
          <w:b/>
        </w:rPr>
        <w:t>(a) Founding instruments.—</w:t>
      </w:r>
      <w:r>
        <w:t>An organizing community may submit its proposed name and historical affiliation, founding roll, constitution approved by a recorded vote of eligible adult founders, first election results, and a plan for maintaining the institutions required by this Act. Distinct communities sharing a historical affiliation need not consolidate, but shall use distinguishable names and accurately state their relationship to that history.</w:t>
      </w:r>
    </w:p>
    <w:p>
      <w:pPr>
        <w:widowControl/>
      </w:pPr>
      <w:r>
        <w:rPr>
          <w:b/>
        </w:rPr>
        <w:t>(b) Constitutional requirements.—</w:t>
      </w:r>
      <w:r>
        <w:t>A constitution shall provide representative government answerable to its citizens; regular selection of governing officers; lawful amendment and removal procedures; publication of laws and public budgets; an impartial judicial function; citizenship procedures; and the protections in section 405. Subject to those requirements, each nation shall determine its governmental structure. The Secretary shall not prescribe a uniform constitution or decide policy questions reserved to the nation.</w:t>
      </w:r>
    </w:p>
    <w:p>
      <w:pPr>
        <w:widowControl/>
      </w:pPr>
      <w:r>
        <w:rPr>
          <w:b/>
        </w:rPr>
        <w:t>(c) Decision.—</w:t>
      </w:r>
      <w:r>
        <w:t>Within 180 days after a complete submission, the Secretary shall certify a community that satisfies the published statutory criteria or issue a reasoned denial identifying each unmet requirement. Certification shall not depend on securing a commercial compact, demonstrating racial identity, or obtaining endorsement from an existing Indian tribe. A denial is reviewable under chapter 7 of title 5, United States Code.</w:t>
      </w:r>
    </w:p>
    <w:p>
      <w:pPr>
        <w:widowControl/>
      </w:pPr>
      <w:r>
        <w:rPr>
          <w:b/>
        </w:rPr>
        <w:t>(d) Legal effect.—</w:t>
      </w:r>
      <w:r>
        <w:t>Upon certification, the community is recognized under federal law as a self-governing domestic nation possessing the powers expressly conferred by this Act. The United States shall maintain a government-to-government relationship with it for the administration of this Act. Recognition neither constitutes recognition as an Indian tribe under existing Indian law nor establishes international statehood, a right of secession, or succession to another nation’s territory or legal claims.</w:t>
      </w:r>
    </w:p>
    <w:p>
      <w:pPr>
        <w:pStyle w:val="Heading2"/>
      </w:pPr>
      <w:r>
        <w:t>SEC. 402. POWERS OF SELF GOVERNMENT.</w:t>
      </w:r>
    </w:p>
    <w:p>
      <w:pPr>
        <w:widowControl/>
      </w:pPr>
      <w:r>
        <w:rPr>
          <w:b/>
        </w:rPr>
        <w:t>(a) General grant.—</w:t>
      </w:r>
      <w:r>
        <w:t>Subject to this Act, a nation may exercise legislative, executive, and judicial power over its internal governmental affairs, its citizens in their national political relationships, its governmental institutions and enterprises, and persons, property, and conduct within its lawful territorial and personal jurisdiction. These powers include citizenship administration; elections; civil and criminal codes; courts; taxation; budgeting; property ownership; business incorporation; licensing; education; health and social services; cultural preservation; utilities; land-use and environmental regulation; policing; fire protection; and emergency medical services.</w:t>
      </w:r>
    </w:p>
    <w:p>
      <w:pPr>
        <w:widowControl/>
      </w:pPr>
      <w:r>
        <w:rPr>
          <w:b/>
        </w:rPr>
        <w:t>(b) Governmental property and enterprise.—</w:t>
      </w:r>
      <w:r>
        <w:t>A nation may acquire, own, lease, improve, and dispose of property; borrow; issue obligations; charter wholly owned governmental entities; enter contracts; employ persons of any national citizenship; and establish enterprises in any lawful industry. The special exclusivity provided by this Act applies only to activities expressly identified in an enterprise compact. Ordinary commercial activity remains subject to the law otherwise applicable at its location.</w:t>
      </w:r>
    </w:p>
    <w:p>
      <w:pPr>
        <w:widowControl/>
      </w:pPr>
      <w:r>
        <w:rPr>
          <w:b/>
        </w:rPr>
        <w:t>(c) Agreements.—</w:t>
      </w:r>
      <w:r>
        <w:t>A nation may enter agreements with other nations, Indian tribes, States, local governments, and private parties, subject to the authority of each participant. No agreement binds an absent government or enlarges jurisdiction beyond this Act. Foreign cultural or commercial agreements shall not exercise the treaty-making authority of the United States.</w:t>
      </w:r>
    </w:p>
    <w:p>
      <w:pPr>
        <w:widowControl/>
      </w:pPr>
      <w:r>
        <w:rPr>
          <w:b/>
        </w:rPr>
        <w:t>(d) Parity review.—</w:t>
      </w:r>
      <w:r>
        <w:t>Every 5 years the Secretary shall report to Congress on material differences between the governmental capacities conferred by this Act and those lawfully exercised by the model tribes, and recommend any necessary legislation. The report shall distinguish governmental powers from tribe-specific treaties, land settlements, and eligibility for separately funded federal programs. It shall not itself enlarge federal exemptions or jurisdiction.</w:t>
      </w:r>
    </w:p>
    <w:p>
      <w:pPr>
        <w:pStyle w:val="Heading2"/>
      </w:pPr>
      <w:r>
        <w:t>SEC. 403. TAXATION AND PUBLIC FINANCE.</w:t>
      </w:r>
    </w:p>
    <w:p>
      <w:pPr>
        <w:widowControl/>
      </w:pPr>
      <w:r>
        <w:rPr>
          <w:b/>
        </w:rPr>
        <w:t>(a) National taxing authority.—</w:t>
      </w:r>
      <w:r>
        <w:t>A nation may impose and collect taxes, assessments, and reasonable fees on its governmental enterprises and on persons, transactions, income, or property within its lawful jurisdiction. Taxes on noncitizens require a territorial or consensual nexus authorized by section 404; citizenship in another nation or residence somewhere within a commercial district alone is insufficient.</w:t>
      </w:r>
    </w:p>
    <w:p>
      <w:pPr>
        <w:widowControl/>
      </w:pPr>
      <w:r>
        <w:rPr>
          <w:b/>
        </w:rPr>
        <w:t>(b) Procedure.—</w:t>
      </w:r>
      <w:r>
        <w:t>Tax laws shall be published prospectively and provide notice, assessment procedures, refunds of overpayments, and impartial review. A nation may negotiate credits, collection agreements, revenue sharing, and payments in lieu of taxes with a State or local government. A compact shall specify the allocation of taxing authority and any surviving State or local taxes. A State tax is not displaced merely because a nation also imposes a tax.</w:t>
      </w:r>
    </w:p>
    <w:p>
      <w:pPr>
        <w:widowControl/>
      </w:pPr>
      <w:r>
        <w:rPr>
          <w:b/>
        </w:rPr>
        <w:t>(c) Federal treatment.—</w:t>
      </w:r>
      <w:r>
        <w:t>For purposes of the Internal Revenue Code of 1986, a certified nation shall receive the treatment accorded to an Indian tribal government within the meaning of section 7701(a)(40) of that Code. Its wholly owned governmental entities shall receive the corresponding treatment under otherwise applicable entity-classification rules; partial private ownership shall not receive that treatment merely through affiliation with a nation. Section 7871 and related limitations shall apply on corresponding terms. The Secretary of the Treasury shall issue conforming rules identifying each affected provision.</w:t>
      </w:r>
    </w:p>
    <w:p>
      <w:pPr>
        <w:widowControl/>
      </w:pPr>
      <w:r>
        <w:rPr>
          <w:b/>
        </w:rPr>
        <w:t>(d) Individuals and investors.—</w:t>
      </w:r>
      <w:r>
        <w:t>National citizenship alone creates no exemption from federal income, employment, or excise taxation. Distributions, wages, investment returns, and welfare benefits shall receive the treatment prescribed by the applicable tax provision, with Garden citizenship substituted for tribal membership only where necessary to implement subsection (c). No tax exemption of a nation passes through to a private investor except as expressly provided by federal tax law.</w:t>
      </w:r>
    </w:p>
    <w:p>
      <w:pPr>
        <w:pStyle w:val="Heading2"/>
      </w:pPr>
      <w:r>
        <w:t>SEC. 404. CIVIL COURTS AND JURISDICTION.</w:t>
      </w:r>
    </w:p>
    <w:p>
      <w:pPr>
        <w:widowControl/>
      </w:pPr>
      <w:r>
        <w:rPr>
          <w:b/>
        </w:rPr>
        <w:t>(a) Courts.—</w:t>
      </w:r>
      <w:r>
        <w:t>Each nation may establish trial and appellate courts, including separate commercial or gaming courts, and may share judicial services by agreement. Judges shall be independent in deciding cases, subject to published qualifications and recusal rules, and removable only under publicly stated procedures. Courts shall keep records and publish generally applicable procedural rules.</w:t>
      </w:r>
    </w:p>
    <w:p>
      <w:pPr>
        <w:widowControl/>
      </w:pPr>
      <w:r>
        <w:rPr>
          <w:b/>
        </w:rPr>
        <w:t>(b) Internal affairs.—</w:t>
      </w:r>
      <w:r>
        <w:t>National courts have jurisdiction over citizenship, elections, national officers and institutions, and other internal political relationships, subject to applicable federal law and section 1202. Civil jurisdiction over the nation or an immune entity additionally requires an applicable waiver or statutory abrogation under section 406.</w:t>
      </w:r>
    </w:p>
    <w:p>
      <w:pPr>
        <w:widowControl/>
      </w:pPr>
      <w:r>
        <w:rPr>
          <w:b/>
        </w:rPr>
        <w:t>(c) Other civil matters.—</w:t>
      </w:r>
      <w:r>
        <w:t>Within Garden lands, courts may hear disputes concerning national property, activities of national enterprises, and conduct of citizens. Jurisdiction over a noncitizen shall extend only to claims arising from that person’s consensual dealings with the nation or its citizens, or conduct on Garden lands directly threatening the nation’s political integrity, economic security, or health or welfare. Jurisdiction must have a substantial connection to the conduct regulated and satisfy due process. Mere proximity to a facility or residence in a commercial district is insufficient. A contract may provide a different competent forum.</w:t>
      </w:r>
    </w:p>
    <w:p>
      <w:pPr>
        <w:widowControl/>
      </w:pPr>
      <w:r>
        <w:rPr>
          <w:b/>
        </w:rPr>
        <w:t>(d) Family matters.—</w:t>
      </w:r>
      <w:r>
        <w:t>Jurisdiction over marriage, domestic relations, estates, and protection of children shall respect the rights of all parties and applicable federal and State rules governing competing judgments and custody jurisdiction. This Act does not apply the Indian Child Welfare Act to a child solely because the child is a Garden citizen.</w:t>
      </w:r>
    </w:p>
    <w:p>
      <w:pPr>
        <w:widowControl/>
      </w:pPr>
      <w:r>
        <w:rPr>
          <w:b/>
        </w:rPr>
        <w:t>(e) Judgments.—</w:t>
      </w:r>
      <w:r>
        <w:t>Courts of the United States and the several States shall recognize final civil judgments of a national court that had jurisdiction and afforded notice, an opportunity to be heard, and an impartial proceeding, subject to defenses applicable to recognition of other domestic judgments. Recognition does not expand the issuing court’s jurisdiction or override an applicable immunity from execution.</w:t>
      </w:r>
    </w:p>
    <w:p>
      <w:pPr>
        <w:pStyle w:val="Heading2"/>
      </w:pPr>
      <w:r>
        <w:t>SEC. 405. PUBLIC SAFETY AND CRIMINAL JUSTICE.</w:t>
      </w:r>
    </w:p>
    <w:p>
      <w:pPr>
        <w:widowControl/>
      </w:pPr>
      <w:r>
        <w:rPr>
          <w:b/>
        </w:rPr>
        <w:t>(a) Public services.—</w:t>
      </w:r>
      <w:r>
        <w:t>A nation may establish police, fire, emergency medical, dispatch, and correctional services. Officers shall meet training, certification, use-of-force, and accountability requirements specified in the jurisdictional compact. Cross-deputization and mutual-aid agreements may authorize additional duties within the authority of the participating governments.</w:t>
      </w:r>
    </w:p>
    <w:p>
      <w:pPr>
        <w:widowControl/>
      </w:pPr>
      <w:r>
        <w:rPr>
          <w:b/>
        </w:rPr>
        <w:t>(b) Ordinary criminal jurisdiction.—</w:t>
      </w:r>
      <w:r>
        <w:t>After the Attorney General certifies compliance with this section, a nation may prosecute a citizen of any Garden nation for a violation of its published criminal law committed on its Garden lands. This authority is conferred by this Act and shall not be inferred to include jurisdiction over every visitor or over unrelated conduct outside Garden lands.</w:t>
      </w:r>
    </w:p>
    <w:p>
      <w:pPr>
        <w:widowControl/>
      </w:pPr>
      <w:r>
        <w:rPr>
          <w:b/>
        </w:rPr>
        <w:t>(c) Limited jurisdiction over other persons.—</w:t>
      </w:r>
      <w:r>
        <w:t>A certified nation may exercise jurisdiction over a noncitizen only for conduct that would satisfy the covered-crime, territorial, personal-connection, and other jurisdictional requirements of section 204 of the Indian Civil Rights Act of 1968 (25 U.S.C. 1304), as in effect on the date of enactment. For this limited incorporation, a Garden nation, its lands, its citizens, and its justice personnel shall respectively stand in the place of the Indian tribe, its Indian country, its Indians or tribal members, and its tribal justice personnel referenced in that section. All exclusions and defendant protections in that section shall apply. The Attorney General shall certify the required court capacity before this authority is exercised. This subsection does not change Indian status for any other purpose.</w:t>
      </w:r>
    </w:p>
    <w:p>
      <w:pPr>
        <w:widowControl/>
      </w:pPr>
      <w:r>
        <w:rPr>
          <w:b/>
        </w:rPr>
        <w:t>(d) Rights and sentencing.—</w:t>
      </w:r>
      <w:r>
        <w:t>Every person subject to a national government is entitled, as a statutory minimum, to the protections of 25 U.S.C. 1302. The Constitution of the United States remains controlling wherever applicable. An indigent defendant shall receive qualified appointed counsel whenever imprisonment may be imposed. Criminal proceedings shall provide an impartial judge, the applicable right to jury trial, published substantive and procedural law, a complete record, appellate review, and access to federal habeas corpus. Sentences shall not exceed the limits in 25 U.S.C. 1302, including the additional conditions for enhanced sentences. No assertion of separate sovereignty under this Act shall enlarge the exceptions to constitutional double-jeopardy protection.</w:t>
      </w:r>
    </w:p>
    <w:p>
      <w:pPr>
        <w:widowControl/>
      </w:pPr>
      <w:r>
        <w:rPr>
          <w:b/>
        </w:rPr>
        <w:t>(e) Concurrent enforcement.—</w:t>
      </w:r>
      <w:r>
        <w:t>State criminal jurisdiction shall continue unless expressly adjusted by federal law and the jurisdictional compact. Federal criminal jurisdiction remains intact. Officers may secure an emergency scene and temporarily detain a person on grounds permitted by the Constitution, but shall promptly transfer a person whom the national court lacks authority to prosecute to the competent authorities. A compact shall establish referral, evidence-sharing, custody, and detention arrangements before criminal jurisdiction begins.</w:t>
      </w:r>
    </w:p>
    <w:p>
      <w:pPr>
        <w:pStyle w:val="Heading2"/>
      </w:pPr>
      <w:r>
        <w:t>SEC. 406. SOVEREIGN IMMUNITY AND REMEDIES.</w:t>
      </w:r>
    </w:p>
    <w:p>
      <w:pPr>
        <w:widowControl/>
      </w:pPr>
      <w:r>
        <w:rPr>
          <w:b/>
        </w:rPr>
        <w:t>(a) Immunity.—</w:t>
      </w:r>
      <w:r>
        <w:t>Except as expressly provided in this Act or another Act of Congress, a certified nation is immune from suit in federal, State, and national courts unless its authorized governing body clearly waives that immunity. The immunity extends to a governmental arm of the nation under standards corresponding to federal law governing arms of Indian tribes. A private investor, contractor, or partly owned company does not acquire immunity merely by doing business with a nation.</w:t>
      </w:r>
    </w:p>
    <w:p>
      <w:pPr>
        <w:widowControl/>
      </w:pPr>
      <w:r>
        <w:rPr>
          <w:b/>
        </w:rPr>
        <w:t>(b) Waivers.—</w:t>
      </w:r>
      <w:r>
        <w:t>A waiver shall identify the claims, forum, remedies, and property available to satisfy a judgment. A waiver of immunity from suit is not by itself consent to seizure of governmental property. Each compact shall contain reciprocal and express waivers sufficient to enforce its obligations in an identified competent court or agreed arbitration proceeding. This Act supplies federal subject-matter jurisdiction over such compact enforcement actions; a State’s ratification is ineffective until it expressly consents to that forum and remedy.</w:t>
      </w:r>
    </w:p>
    <w:p>
      <w:pPr>
        <w:widowControl/>
      </w:pPr>
      <w:r>
        <w:rPr>
          <w:b/>
        </w:rPr>
        <w:t>(c) Persons and enforcement.—</w:t>
      </w:r>
      <w:r>
        <w:t>Immunity of a nation does not confer personal immunity on its citizens. Whether an officer or employee has a personal defense or official immunity shall be determined under the applicable law; an obligation to indemnify the person does not by itself create sovereign immunity. Immunity does not bar enforcement by the United States of federal law, the review and relief expressly authorized by section 1202, or enforcement of the limited repayment obligation under title XI against designated enterprise receipts.</w:t>
      </w:r>
    </w:p>
    <w:p>
      <w:pPr>
        <w:widowControl/>
      </w:pPr>
      <w:r>
        <w:rPr>
          <w:b/>
        </w:rPr>
        <w:t>(d) Enterprise claims.—</w:t>
      </w:r>
      <w:r>
        <w:t>Before opening to the public, a qualifying enterprise shall maintain insurance or an adequately funded claims reserve and a published, enforceable remedy for bodily injury, property damage, employment claims, and contractual obligations. The nation shall adopt a corresponding limited waiver in an identified court. Claim periods, notice rules, and recovery limits shall be conspicuous and reasonable, and shall not reduce a nonwaivable federal remedy. A private management agreement may not substitute an illusory remedy for this requirement.</w:t>
      </w:r>
    </w:p>
    <w:p>
      <w:pPr>
        <w:pStyle w:val="Heading1"/>
      </w:pPr>
      <w:r>
        <w:t>TITLE V  GENERAL ASSEMBLY OF NATIONS</w:t>
      </w:r>
    </w:p>
    <w:p>
      <w:pPr>
        <w:pStyle w:val="Heading2"/>
      </w:pPr>
      <w:r>
        <w:t>SEC. 501. ESTABLISHMENT AND LIMITS.</w:t>
      </w:r>
    </w:p>
    <w:p>
      <w:pPr>
        <w:widowControl/>
      </w:pPr>
      <w:r>
        <w:rPr>
          <w:b/>
        </w:rPr>
        <w:t>(a) Establishment.—</w:t>
      </w:r>
      <w:r>
        <w:t>Certified nations may constitute the General Assembly of African American Republican Tribal Nations, known as the Garden, through an agreement approved under their respective constitutions. Each participating nation shall have an equal voice in procedures governing access to published opportunities. Administrative expenses shall be met by voluntary contributions, dues approved by participating nations, and permitted service charges.</w:t>
      </w:r>
    </w:p>
    <w:p>
      <w:pPr>
        <w:widowControl/>
      </w:pPr>
      <w:r>
        <w:rPr>
          <w:b/>
        </w:rPr>
        <w:t>(b) Functions.—</w:t>
      </w:r>
      <w:r>
        <w:t>The Assembly may maintain the opportunity register, receive sealed preferences, facilitate voluntary negotiations, maintain public procedural records, and provide shared administrative or professional services. It shall protect confidential submissions until the applicable process permits disclosure.</w:t>
      </w:r>
    </w:p>
    <w:p>
      <w:pPr>
        <w:widowControl/>
      </w:pPr>
      <w:r>
        <w:rPr>
          <w:b/>
        </w:rPr>
        <w:t>(c) Limits.—</w:t>
      </w:r>
      <w:r>
        <w:t>The Assembly may not legislate for a nation, tax its citizens, compel a settlement, impose a governing constitution, promise a commercial award, or veto a nation’s recognition. Participation is voluntary. A nonparticipating nation shall have access to the same published governmental opportunities and deadlines through the Secretary’s register.</w:t>
      </w:r>
    </w:p>
    <w:p>
      <w:pPr>
        <w:pStyle w:val="Heading1"/>
      </w:pPr>
      <w:r>
        <w:t>TITLE VI  LANDS AND VOLUNTARY COMPACTS</w:t>
      </w:r>
    </w:p>
    <w:p>
      <w:pPr>
        <w:pStyle w:val="Heading2"/>
      </w:pPr>
      <w:r>
        <w:t>SEC. 601. GARDEN LANDS AND JURISDICTIONAL COMPACTS.</w:t>
      </w:r>
    </w:p>
    <w:p>
      <w:pPr>
        <w:widowControl/>
      </w:pPr>
      <w:r>
        <w:rPr>
          <w:b/>
        </w:rPr>
        <w:t>(a) Voluntary acquisition.—</w:t>
      </w:r>
      <w:r>
        <w:t>A nation may obtain land or a leasehold through voluntary purchase, gift, or lease. This Act authorizes no taking by eminent domain, confiscation, displacement of existing occupants, or transfer of another tribe’s land, treaty rights, or jurisdiction.</w:t>
      </w:r>
    </w:p>
    <w:p>
      <w:pPr>
        <w:widowControl/>
      </w:pPr>
      <w:r>
        <w:rPr>
          <w:b/>
        </w:rPr>
        <w:t>(b) Designation.—</w:t>
      </w:r>
      <w:r>
        <w:t>Garden lands may be designated only with the nation’s consent, legislative authorization by the State, approval of the affected local government, consent of each affected owner, and certification by the Secretary. Existing tenants and holders of property rights shall retain those rights unless they voluntarily agree otherwise. Public notice, a hearing, environmental review under applicable law, and disclosure of fiscal and service effects shall precede designation.</w:t>
      </w:r>
    </w:p>
    <w:p>
      <w:pPr>
        <w:widowControl/>
      </w:pPr>
      <w:r>
        <w:rPr>
          <w:b/>
        </w:rPr>
        <w:t>(c) Compact terms.—</w:t>
      </w:r>
      <w:r>
        <w:t>The jurisdictional compact shall identify parcels and duration; allocate civil regulation, policing, adjudication, and taxation; protect access and existing property interests; address utilities and public-service costs; and provide dispute resolution and rules for expiration. National jurisdiction shall begin only over the subjects and parcels expressly designated. Within that allocation, conflicting State and local civil regulation is displaced to the extent expressly authorized by this Act and the compact; federal law remains controlling.</w:t>
      </w:r>
    </w:p>
    <w:p>
      <w:pPr>
        <w:widowControl/>
      </w:pPr>
      <w:r>
        <w:rPr>
          <w:b/>
        </w:rPr>
        <w:t>(d) Trust status.—</w:t>
      </w:r>
      <w:r>
        <w:t>Upon a nation’s application and satisfaction of subsection (b), the Secretary may accept voluntarily acquired land in trust for that nation. Trust status shall preserve existing valid rights, prohibit involuntary alienation except as expressly authorized by Congress, and implement the compact’s agreed jurisdiction and fiscal arrangements. Trust status under this Act does not make the land Indian country under section 1151 of title 18, United States Code, or Indian lands under the Indian Gaming Regulatory Act. The powers and protections necessary for Garden lands arise under this Act.</w:t>
      </w:r>
    </w:p>
    <w:p>
      <w:pPr>
        <w:widowControl/>
      </w:pPr>
      <w:r>
        <w:rPr>
          <w:b/>
        </w:rPr>
        <w:t>(e) Continuity.—</w:t>
      </w:r>
      <w:r>
        <w:t>A jurisdictional compact shall state whether its land designation continues independently of any enterprise license. Expiration of an exclusive business right shall not by itself dissolve national citizenship, courts, recognition, or a continuing land arrangement.</w:t>
      </w:r>
    </w:p>
    <w:p>
      <w:pPr>
        <w:pStyle w:val="Heading2"/>
      </w:pPr>
      <w:r>
        <w:t>SEC. 602. STATE PARTICIPATION AND CERTIFICATION.</w:t>
      </w:r>
    </w:p>
    <w:p>
      <w:pPr>
        <w:widowControl/>
      </w:pPr>
      <w:r>
        <w:rPr>
          <w:b/>
        </w:rPr>
        <w:t>(a) Consent.—</w:t>
      </w:r>
      <w:r>
        <w:t>A State may participate industry by industry and district by district. No State is required to offer an opportunity, designate land, enter a compact, or bear an unreimbursed program expense. A State’s refusal shall not result in loss of an unrelated federal benefit.</w:t>
      </w:r>
    </w:p>
    <w:p>
      <w:pPr>
        <w:widowControl/>
      </w:pPr>
      <w:r>
        <w:rPr>
          <w:b/>
        </w:rPr>
        <w:t>(b) Published offers.—</w:t>
      </w:r>
      <w:r>
        <w:t>An authorized State shall publish proposed districts, activities, regulatory conditions, duration, available infrastructure, and known legal restrictions. Offers shall disclose any existing tribal compact, exclusivity agreement, license, or other right that could be affected. An offer creates no vested entitlement to an award.</w:t>
      </w:r>
    </w:p>
    <w:p>
      <w:pPr>
        <w:widowControl/>
      </w:pPr>
      <w:r>
        <w:rPr>
          <w:b/>
        </w:rPr>
        <w:t>(c) Certification.—</w:t>
      </w:r>
      <w:r>
        <w:t>The Secretary, with the concurrence of the responsible federal regulator for an industry-specific determination, shall approve a complete compact within 180 days if it satisfies this Act, or issue written grounds for denial. Approval is limited to statutory compliance and shall not substitute the Secretary’s commercial preference for the parties’ lawful agreement. Silence is not approval. Unreasonable delay and final action are reviewable under chapter 7 of title 5, United States Code.</w:t>
      </w:r>
    </w:p>
    <w:p>
      <w:pPr>
        <w:pStyle w:val="Heading1"/>
      </w:pPr>
      <w:r>
        <w:t>TITLE VII  ADMISSIBILITY AND PROTECTION OF EXISTING RIGHTS</w:t>
      </w:r>
    </w:p>
    <w:p>
      <w:pPr>
        <w:pStyle w:val="Heading2"/>
      </w:pPr>
      <w:r>
        <w:t>SEC. 701. CLOSED MARKET REQUIREMENT.</w:t>
      </w:r>
    </w:p>
    <w:p>
      <w:pPr>
        <w:widowControl/>
      </w:pPr>
      <w:r>
        <w:rPr>
          <w:b/>
        </w:rPr>
        <w:t>(a) Test.—</w:t>
      </w:r>
      <w:r>
        <w:t>An exclusive authorization may be awarded only where, immediately before the public offer, the specified commercial activity was closed to lawful entry by ordinary private operators in the relevant district under applicable State and local law, and no existing lawful operator, valid license, enforceable compact right, or vested right of entry would be displaced or impaired. Activity under a State authorization shall be treated as existing activity for this test even if federal law restricts that activity.</w:t>
      </w:r>
    </w:p>
    <w:p>
      <w:pPr>
        <w:widowControl/>
      </w:pPr>
      <w:r>
        <w:rPr>
          <w:b/>
        </w:rPr>
        <w:t>(b) Genuine market.—</w:t>
      </w:r>
      <w:r>
        <w:t>A district or activity shall not be drawn artificially to evade the test by carving an existing market around its operators, relabeling substantially the same service, or ignoring lawful internet access, delivery, research authorizations, or overlapping tribal rights. A prohibition enacted after this Act for the purpose of manufacturing eligibility shall not qualify.</w:t>
      </w:r>
    </w:p>
    <w:p>
      <w:pPr>
        <w:widowControl/>
      </w:pPr>
      <w:r>
        <w:rPr>
          <w:b/>
        </w:rPr>
        <w:t>(c) Decision record.—</w:t>
      </w:r>
      <w:r>
        <w:t>Before certification, the State shall publish a market and rights assessment, allow at least 90 days for affected persons to comment, and decide material objections with reasons. The assessment shall examine existing operators and authorized applicants, substitutable services, geographic effects, consumer access, competition, and public-service costs. A promise of no economic effect is not a substitute for that assessment.</w:t>
      </w:r>
    </w:p>
    <w:p>
      <w:pPr>
        <w:widowControl/>
      </w:pPr>
      <w:r>
        <w:rPr>
          <w:b/>
        </w:rPr>
        <w:t>(d) Limits.—</w:t>
      </w:r>
      <w:r>
        <w:t>No grant shall confiscate a business or property interest, cancel an existing lawful license, reserve an existing public contract, or impair another Indian tribe’s treaty, statutory, or compact rights. The Act does not guarantee that a lawful new enterprise will have no indirect competitive effects. The compact shall include measures addressing material adverse effects identified in the assessment and shall satisfy all other applicable law.</w:t>
      </w:r>
    </w:p>
    <w:p>
      <w:pPr>
        <w:pStyle w:val="Heading1"/>
      </w:pPr>
      <w:r>
        <w:t>TITLE VIII  PREFERENCES AND NEGOTIATION</w:t>
      </w:r>
    </w:p>
    <w:p>
      <w:pPr>
        <w:pStyle w:val="Heading2"/>
      </w:pPr>
      <w:r>
        <w:t>SEC. 801. OPPORTUNITY ALLOCATION PROCEDURE.</w:t>
      </w:r>
    </w:p>
    <w:p>
      <w:pPr>
        <w:widowControl/>
      </w:pPr>
      <w:r>
        <w:rPr>
          <w:b/>
        </w:rPr>
        <w:t>(a) Register and preferences.—</w:t>
      </w:r>
      <w:r>
        <w:t>After founding enrollment closes, published opportunities shall be entered in a common register available to every certified nation. Each nation may submit a sealed ranked preference list by a common deadline. The register administrator shall publish the procedure before receiving lists and shall protect their contents until submissions close.</w:t>
      </w:r>
    </w:p>
    <w:p>
      <w:pPr>
        <w:widowControl/>
      </w:pPr>
      <w:r>
        <w:rPr>
          <w:b/>
        </w:rPr>
        <w:t>(b) Uncontested preferences.—</w:t>
      </w:r>
      <w:r>
        <w:t>An uncontested first preference confers an opportunity to negotiate with the offering government, subject to published readiness and legal requirements. It is not an award of a monopoly or a right to compel agreement.</w:t>
      </w:r>
    </w:p>
    <w:p>
      <w:pPr>
        <w:widowControl/>
      </w:pPr>
      <w:r>
        <w:rPr>
          <w:b/>
        </w:rPr>
        <w:t>(c) Competing preferences.—</w:t>
      </w:r>
      <w:r>
        <w:t>Nations seeking the same opportunity shall first have a reasonable opportunity to negotiate a voluntary allocation, joint enterprise, or revised proposal. The Assembly may facilitate but shall not impose a result. If no agreement is reached, the opportunity shall remain unawarded until the nations agree or a new voluntary offer is published. No nation is entitled to an award solely because it refuses agreement.</w:t>
      </w:r>
    </w:p>
    <w:p>
      <w:pPr>
        <w:widowControl/>
      </w:pPr>
      <w:r>
        <w:rPr>
          <w:b/>
        </w:rPr>
        <w:t>(d) Later entrants and transparency.—</w:t>
      </w:r>
      <w:r>
        <w:t>Governments may stage their published offers to retain opportunities for nations and States participating later. Allocation procedures shall be fixed before submissions, permit equal access, disclose conflicts, and record reasons for final governmental decisions. Sealed lists shall not be sold or disclosed for private advantage.</w:t>
      </w:r>
    </w:p>
    <w:p>
      <w:pPr>
        <w:widowControl/>
      </w:pPr>
      <w:r>
        <w:rPr>
          <w:b/>
        </w:rPr>
        <w:t>(e) Narrow antitrust protection.—</w:t>
      </w:r>
      <w:r>
        <w:t>The submission, facilitation, and voluntary allocation of the specific opportunities authorized by this section, and the exclusivity expressly granted in a certified compact, shall not alone violate the federal antitrust laws. This protection does not authorize agreements on prices, wages, output, customers, or markets beyond those specific authorizations; bid rigging in ordinary procurement; exclusionary conduct outside a compact; or fraud. Other antitrust and consumer-protection obligations remain applicable.</w:t>
      </w:r>
    </w:p>
    <w:p>
      <w:pPr>
        <w:pStyle w:val="Heading1"/>
      </w:pPr>
      <w:r>
        <w:t>TITLE IX  FEDERAL INDUSTRY AUTHORIZATIONS</w:t>
      </w:r>
    </w:p>
    <w:p>
      <w:pPr>
        <w:pStyle w:val="Heading2"/>
      </w:pPr>
      <w:r>
        <w:t>SEC. 901. GENERAL RULES.</w:t>
      </w:r>
    </w:p>
    <w:p>
      <w:pPr>
        <w:widowControl/>
      </w:pPr>
      <w:r>
        <w:rPr>
          <w:b/>
        </w:rPr>
        <w:t>(a) Enumerated authority.—</w:t>
      </w:r>
      <w:r>
        <w:t>Only activities expressly authorized in this title may receive a federal exception under this Act. Neither the Secretary nor a State may waive another federal statute by compact or regulation. Congress must authorize an additional category by law.</w:t>
      </w:r>
    </w:p>
    <w:p>
      <w:pPr>
        <w:widowControl/>
      </w:pPr>
      <w:r>
        <w:rPr>
          <w:b/>
        </w:rPr>
        <w:t>(b) Preconditions.—</w:t>
      </w:r>
      <w:r>
        <w:t>An exception takes effect only after certification of the compact, issuance of all required national and State licenses, and verification of applicable federal regulatory requirements. Exceptions are confined to the persons, places, activities, quantities, and period stated in the compact and this title.</w:t>
      </w:r>
    </w:p>
    <w:p>
      <w:pPr>
        <w:widowControl/>
      </w:pPr>
      <w:r>
        <w:rPr>
          <w:b/>
        </w:rPr>
        <w:t>(c) Continuing law.—</w:t>
      </w:r>
      <w:r>
        <w:t>Except for an express exception, federal criminal, tax, employment, environmental, securities, banking, anti-money-laundering, intellectual-property, food-and-drug, and consumer-protection laws continue to apply. National recognition is not a general exemption from federal law. Generally applicable State standards expressly retained in a compact remain enforceable by the identified regulator.</w:t>
      </w:r>
    </w:p>
    <w:p>
      <w:pPr>
        <w:pStyle w:val="Heading2"/>
      </w:pPr>
      <w:r>
        <w:t>SEC. 902. CANNABIS.</w:t>
      </w:r>
    </w:p>
    <w:p>
      <w:pPr>
        <w:widowControl/>
      </w:pPr>
      <w:r>
        <w:rPr>
          <w:b/>
        </w:rPr>
        <w:t>(a) Authorized activity.—</w:t>
      </w:r>
      <w:r>
        <w:t>Notwithstanding the Controlled Substances Act and the Controlled Substances Import and Export Act, a qualifying enterprise and its duly licensed personnel may cultivate, manufacture, process, possess, distribute, and sell cannabis solely within the domestic geographic and operational limits of a cannabis compact. An adult who is at least 21 years old may purchase and possess a compact-authorized quantity within the authorized area. This exception does not authorize importation, exportation, interstate distribution, impaired driving, or possession on federal property.</w:t>
      </w:r>
    </w:p>
    <w:p>
      <w:pPr>
        <w:widowControl/>
      </w:pPr>
      <w:r>
        <w:rPr>
          <w:b/>
        </w:rPr>
        <w:t>(b) Registration and controls.—</w:t>
      </w:r>
      <w:r>
        <w:t>The Attorney General shall establish a Garden cannabis registration class and shall register an applicant satisfying published requirements for security, inventory tracking, diversion prevention, and recordkeeping. A State and national regulator shall enforce testing, labeling, packaging, age verification, environmental, workplace, advertising, and recall standards specified in the compact. Cannabis entering or leaving the authorized chain outside lawful authority is not protected.</w:t>
      </w:r>
    </w:p>
    <w:p>
      <w:pPr>
        <w:widowControl/>
      </w:pPr>
      <w:r>
        <w:rPr>
          <w:b/>
        </w:rPr>
        <w:t>(c) Related federal consequences.—</w:t>
      </w:r>
      <w:r>
        <w:t>Conduct expressly lawful under this section shall not, solely because it involves cannabis, constitute a controlled-substance predicate for forfeiture, money laundering, unlawful-proceeds treatment, or a violation of the Travel Act. Section 280E of the Internal Revenue Code shall not apply to that lawful conduct. Financial institutions may serve a compliant enterprise without liability based solely on that service, but retain customer-identification, reporting, sanctions, and other applicable duties.</w:t>
      </w:r>
    </w:p>
    <w:p>
      <w:pPr>
        <w:widowControl/>
      </w:pPr>
      <w:r>
        <w:rPr>
          <w:b/>
        </w:rPr>
        <w:t>(d) Food and drug law.—</w:t>
      </w:r>
      <w:r>
        <w:t>This section does not approve a drug, authorize an unapproved medical claim, or exempt a food, drug, or other product from the Federal Food, Drug, and Cosmetic Act. The compact shall identify which product forms may lawfully be marketed under that Act. No administrator may infer an exemption from that Act merely from the cannabis authorization.</w:t>
      </w:r>
    </w:p>
    <w:p>
      <w:pPr>
        <w:pStyle w:val="Heading2"/>
      </w:pPr>
      <w:r>
        <w:t>SEC. 903. GAMING AND SPORTS WAGERING.</w:t>
      </w:r>
    </w:p>
    <w:p>
      <w:pPr>
        <w:widowControl/>
      </w:pPr>
      <w:r>
        <w:rPr>
          <w:b/>
        </w:rPr>
        <w:t>(a) Authorization.—</w:t>
      </w:r>
      <w:r>
        <w:t>A qualifying enterprise may conduct the games and intrastate sports wagering expressly authorized by a State and national compact satisfying title VII. The compact shall establish independent licensing and regulatory functions, suitability investigations, technical controls, audits, minimum age, self-exclusion and problem-gambling measures, protection of customer funds, and enforceable patron remedies.</w:t>
      </w:r>
    </w:p>
    <w:p>
      <w:pPr>
        <w:widowControl/>
      </w:pPr>
      <w:r>
        <w:rPr>
          <w:b/>
        </w:rPr>
        <w:t>(b) Federal coordination.—</w:t>
      </w:r>
      <w:r>
        <w:t>Gaming expressly authorized under this section shall not be an illegal gambling business under section 1955 of title 18, United States Code. Devices used solely for that gaming shall not be prohibited solely by section 5 of the Act of January 2, 1951 (15 U.S.C. 1175). Conduct otherwise lawful under this section shall not constitute unlawful activity under section 1952 of title 18 solely because it is that gaming. No exception is created to interstate wagering restrictions in section 1084 of title 18, or to applicable requirements of subchapter IV of chapter 53 of title 31. An internet compact shall require geolocation and compliance with those provisions.</w:t>
      </w:r>
    </w:p>
    <w:p>
      <w:pPr>
        <w:widowControl/>
      </w:pPr>
      <w:r>
        <w:rPr>
          <w:b/>
        </w:rPr>
        <w:t>(c) Existing Indian gaming.—</w:t>
      </w:r>
      <w:r>
        <w:t>Authority under this section is independent of the Indian Gaming Regulatory Act. No existing Indian tribe, Indian land, tribal compact, or gaming entitlement is altered. A Garden enterprise obtains no entitlement to an existing Indian gaming license or to State revenue committed under another compact.</w:t>
      </w:r>
    </w:p>
    <w:p>
      <w:pPr>
        <w:pStyle w:val="Heading2"/>
      </w:pPr>
      <w:r>
        <w:t>SEC. 904. THERAPEUTIC SUBSTANCES.</w:t>
      </w:r>
    </w:p>
    <w:p>
      <w:pPr>
        <w:widowControl/>
      </w:pPr>
      <w:r>
        <w:rPr>
          <w:b/>
        </w:rPr>
        <w:t>(a) Permitted compact categories.—</w:t>
      </w:r>
      <w:r>
        <w:t>A compact may conditionally authorize research, manufacture, distribution, or supervised administration involving psilocybin or ibogaine, but operation shall begin only to the extent lawful under the Federal Food, Drug, and Cosmetic Act, the Controlled Substances Act, applicable investigational or expanded-access provisions, and State professional and facility requirements.</w:t>
      </w:r>
    </w:p>
    <w:p>
      <w:pPr>
        <w:widowControl/>
      </w:pPr>
      <w:r>
        <w:rPr>
          <w:b/>
        </w:rPr>
        <w:t>(b) No approval by legislation.—</w:t>
      </w:r>
      <w:r>
        <w:t>Neither historical use nor inclusion in this section constitutes a finding of safety or effectiveness. A clinical operation shall obtain required product and research authorizations, employ qualified practitioners, secure informed consent, monitor and report adverse events, and maintain appropriate emergency capabilities. No compact may direct the Food and Drug Administration to approve a product or prevent an independent party from conducting otherwise lawful research.</w:t>
      </w:r>
    </w:p>
    <w:p>
      <w:pPr>
        <w:widowControl/>
      </w:pPr>
      <w:r>
        <w:rPr>
          <w:b/>
        </w:rPr>
        <w:t>(c) Conditional opportunities.—</w:t>
      </w:r>
      <w:r>
        <w:t>A State may publish an opportunity contingent on a specified future lawful pathway. A commercial award shall not impair an existing approval, research authorization, patent, license, or other protected right. If existing federal authority is insufficient, operation must await a further Act of Congress; a compact cannot supply the missing exemption.</w:t>
      </w:r>
    </w:p>
    <w:p>
      <w:pPr>
        <w:pStyle w:val="Heading1"/>
      </w:pPr>
      <w:r>
        <w:t>TITLE X  ENTERPRISES AND COMPACT TERMS</w:t>
      </w:r>
    </w:p>
    <w:p>
      <w:pPr>
        <w:pStyle w:val="Heading2"/>
      </w:pPr>
      <w:r>
        <w:t>SEC. 1001. NATIONAL CONTROL AND PRIVATE CAPITAL.</w:t>
      </w:r>
    </w:p>
    <w:p>
      <w:pPr>
        <w:widowControl/>
      </w:pPr>
      <w:r>
        <w:rPr>
          <w:b/>
        </w:rPr>
        <w:t>(a) Ownership of authorization.—</w:t>
      </w:r>
      <w:r>
        <w:t>The exclusive authorization shall belong to the nation collectively and shall not be privately assigned, sold, pledged, or transferred through foreclosure. A nation may operate through a wholly owned entity or a subsidiary in which it retains majority voting control and a majority beneficial economic interest. A license may be held jointly by nations under a voluntary agreement preserving public control.</w:t>
      </w:r>
    </w:p>
    <w:p>
      <w:pPr>
        <w:widowControl/>
      </w:pPr>
      <w:r>
        <w:rPr>
          <w:b/>
        </w:rPr>
        <w:t>(b) Financing.—</w:t>
      </w:r>
      <w:r>
        <w:t>An enterprise may receive private debt, minority investment, and management services on disclosed commercial terms. Creditors may receive agreed interests in enterprise assets and revenues, subject to the compact. No agreement may convey governing votes of the nation, citizenship, legislative authority, judicial control, or the exclusive authorization itself. Fees, side agreements, and related-party arrangements shall not be used to evade the ownership requirements.</w:t>
      </w:r>
    </w:p>
    <w:p>
      <w:pPr>
        <w:widowControl/>
      </w:pPr>
      <w:r>
        <w:rPr>
          <w:b/>
        </w:rPr>
        <w:t>(c) Use of public returns.—</w:t>
      </w:r>
      <w:r>
        <w:t>Each nation shall decide through its own constitutional budget process how its net enterprise returns support government, services, investment, reserves, or lawful citizen distributions. This Act imposes no federally selected spending program. Public budgets and independently audited accounts shall identify those uses.</w:t>
      </w:r>
    </w:p>
    <w:p>
      <w:pPr>
        <w:pStyle w:val="Heading2"/>
      </w:pPr>
      <w:r>
        <w:t>SEC. 1002. DURATION AND ENFORCEMENT.</w:t>
      </w:r>
    </w:p>
    <w:p>
      <w:pPr>
        <w:widowControl/>
      </w:pPr>
      <w:r>
        <w:rPr>
          <w:b/>
        </w:rPr>
        <w:t>(a) Required terms.—</w:t>
      </w:r>
      <w:r>
        <w:t>Each enterprise compact shall identify its district, activities, duration, conditions precedent, performance milestones, regulatory responsibilities, fiscal arrangements, consumer remedies, insurance, reporting, renewal standards, default procedures, and treatment of investors and customers on expiration. No initial exclusive term shall exceed 25 years. Renewal requires a new public assessment and affirmative agreement under this Act.</w:t>
      </w:r>
    </w:p>
    <w:p>
      <w:pPr>
        <w:widowControl/>
      </w:pPr>
      <w:r>
        <w:rPr>
          <w:b/>
        </w:rPr>
        <w:t>(b) General legalization.—</w:t>
      </w:r>
      <w:r>
        <w:t>A compact shall state in advance how later generally applicable legalization affects exclusivity, revenue sharing, and outstanding investments. No compact may permanently disable Congress or a State legislature from changing its law. Absent an express lawful transition provision, the exclusive right ends when the State opens substantially the same activity in the district to general lawful entry; an otherwise compliant enterprise may continue on the same nonexclusive licensing terms as other operators.</w:t>
      </w:r>
    </w:p>
    <w:p>
      <w:pPr>
        <w:widowControl/>
      </w:pPr>
      <w:r>
        <w:rPr>
          <w:b/>
        </w:rPr>
        <w:t>(c) Enforcement.—</w:t>
      </w:r>
      <w:r>
        <w:t>A material violation may result in correction requirements, civil penalties authorized by law, suspension, or termination of the affected authorization after notice and an opportunity to be heard. An identified regulator may impose a temporary emergency suspension on documented grounds of imminent serious harm, with a prompt hearing. Private wrongdoing shall not automatically dissolve national recognition or extinguish the rights of uninvolved citizens.</w:t>
      </w:r>
    </w:p>
    <w:p>
      <w:pPr>
        <w:pStyle w:val="Heading1"/>
      </w:pPr>
      <w:r>
        <w:t>TITLE XI  FOUNDING FUND AND ADMINISTRATION</w:t>
      </w:r>
    </w:p>
    <w:p>
      <w:pPr>
        <w:pStyle w:val="Heading2"/>
      </w:pPr>
      <w:r>
        <w:t>SEC. 1101. FOUNDING FUND.</w:t>
      </w:r>
    </w:p>
    <w:p>
      <w:pPr>
        <w:widowControl/>
      </w:pPr>
      <w:r>
        <w:rPr>
          <w:b/>
        </w:rPr>
        <w:t>(a) Establishment.—</w:t>
      </w:r>
      <w:r>
        <w:t>There is established in the Treasury a Garden Founding Fund. Amounts are authorized to be appropriated only for the historical census, publication, source preservation, and administration of that census. Within 90 days after enactment, the Secretary shall submit a detailed cost estimate and expenditure schedule to Congress. No obligation may be incurred against the Fund before an appropriation, and obligations shall not exceed amounts actually appropriated.</w:t>
      </w:r>
    </w:p>
    <w:p>
      <w:pPr>
        <w:widowControl/>
      </w:pPr>
      <w:r>
        <w:rPr>
          <w:b/>
        </w:rPr>
        <w:t>(b) Limited purpose.—</w:t>
      </w:r>
      <w:r>
        <w:t>The Fund shall not finance land purchases, commercial enterprises, citizen distributions, or private investment losses. Unobligated balances shall be returned to the Treasury after the census and necessary closeout are completed. Existing agencies shall administer other functions only within legally available appropriations or fees authorized by section 1102; this Act does not deem those functions costless.</w:t>
      </w:r>
    </w:p>
    <w:p>
      <w:pPr>
        <w:widowControl/>
      </w:pPr>
      <w:r>
        <w:rPr>
          <w:b/>
        </w:rPr>
        <w:t>(c) Recovery target.—</w:t>
      </w:r>
      <w:r>
        <w:t>The recovery target shall equal actual audited Fund disbursements, less recoveries and refunds attributable to those disbursements, multiplied by 1.05. The additional 5 percent is a fixed total return, not an annual or compounding charge. The Secretary of the Treasury shall publish the calculation and any corrections.</w:t>
      </w:r>
    </w:p>
    <w:p>
      <w:pPr>
        <w:widowControl/>
      </w:pPr>
      <w:r>
        <w:rPr>
          <w:b/>
        </w:rPr>
        <w:t>(d) Repayment.—</w:t>
      </w:r>
      <w:r>
        <w:t>A nation receiving an exclusive authorization shall remit annually 1 percent of its economic share of positive consolidated net income from its qualifying enterprises until aggregate receipts under this subsection reach the recovery target. No payment is due for a year without positive qualifying income. Net income shall be calculated under generally applicable federal income-tax accounting principles without the governmental exemption, with consolidation of controlled qualifying operations and adjustments preventing diversion through non-arm’s-length charges. A loss or expense of an unrelated activity may not shelter qualifying income.</w:t>
      </w:r>
    </w:p>
    <w:p>
      <w:pPr>
        <w:widowControl/>
      </w:pPr>
      <w:r>
        <w:rPr>
          <w:b/>
        </w:rPr>
        <w:t>(e) Recourse and termination.—</w:t>
      </w:r>
      <w:r>
        <w:t>Repayment is enforceable only against the nation’s receipts from qualifying enterprises and does not create individual citizen liability or a federal guarantee. Treasury shall reduce the final assessment to the outstanding balance, return excess receipts proportionately, and terminate the assessment permanently when the target is reached. Collections shall reimburse the Treasury and shall not finance a new program without a further appropriation. Repayment is not guaranteed if enterprises fail or insufficient income is earned.</w:t>
      </w:r>
    </w:p>
    <w:p>
      <w:pPr>
        <w:pStyle w:val="Heading2"/>
      </w:pPr>
      <w:r>
        <w:t>SEC. 1102. ADMINISTRATIVE COSTS AND PUBLIC ACCOUNTS.</w:t>
      </w:r>
    </w:p>
    <w:p>
      <w:pPr>
        <w:widowControl/>
      </w:pPr>
      <w:r>
        <w:rPr>
          <w:b/>
        </w:rPr>
        <w:t>(a) Fees.—</w:t>
      </w:r>
      <w:r>
        <w:t>The Secretary and participating federal regulators may recover reasonable, documented costs of reviewing, licensing, and supervising a particular compact through a published fee schedule. A fee shall not exceed the attributable cost, fund unrelated activities, or be charged for an individual’s founding enrollment. Amounts may be collected and expended for those purposes only as provided in advance in appropriations Acts. State and local cost recovery shall be specified in each compact.</w:t>
      </w:r>
    </w:p>
    <w:p>
      <w:pPr>
        <w:widowControl/>
      </w:pPr>
      <w:r>
        <w:rPr>
          <w:b/>
        </w:rPr>
        <w:t>(b) Accounting.—</w:t>
      </w:r>
      <w:r>
        <w:t>Annual public accounts shall separately report appropriations, actual expenditures, fees, Fund repayments, outstanding exposure, and estimated federal tax effects where available. No report shall describe the Act as having zero fiscal cost solely because repayment is intended or an opportunity consists of a legal authorization.</w:t>
      </w:r>
    </w:p>
    <w:p>
      <w:pPr>
        <w:pStyle w:val="Heading1"/>
      </w:pPr>
      <w:r>
        <w:t>TITLE XII  RIGHTS AND REVIEW</w:t>
      </w:r>
    </w:p>
    <w:p>
      <w:pPr>
        <w:pStyle w:val="Heading2"/>
      </w:pPr>
      <w:r>
        <w:t>SEC. 1201. TRANSPARENCY AND COMPLIANCE.</w:t>
      </w:r>
    </w:p>
    <w:p>
      <w:pPr>
        <w:widowControl/>
      </w:pPr>
      <w:r>
        <w:rPr>
          <w:b/>
        </w:rPr>
        <w:t>(a) Public law and accounts.—</w:t>
      </w:r>
      <w:r>
        <w:t>Each nation shall publish its constitution, laws of general application, court rules, current compact terms, annual public budget, and audited accounts of qualifying enterprises. Personal genealogical, medical, and protected commercial information shall be redacted. Officers shall disclose financial conflicts and recuse from affected decisions.</w:t>
      </w:r>
    </w:p>
    <w:p>
      <w:pPr>
        <w:widowControl/>
      </w:pPr>
      <w:r>
        <w:rPr>
          <w:b/>
        </w:rPr>
        <w:t>(b) Equal protection and access.—</w:t>
      </w:r>
      <w:r>
        <w:t>A nation shall protect freedom of speech, religion, association, and political participation; due process; equal protection; property rights; and freedom from unreasonable searches and seizures. Citizenship criteria authorized by this Act do not authorize discrimination against customers, employees, or the public in violation of applicable law. A person’s residence within a commercial district does not make that person a citizen or deprive the person of an existing vote.</w:t>
      </w:r>
    </w:p>
    <w:p>
      <w:pPr>
        <w:widowControl/>
      </w:pPr>
      <w:r>
        <w:rPr>
          <w:b/>
        </w:rPr>
        <w:t>(c) No involuntary settlement.—</w:t>
      </w:r>
      <w:r>
        <w:t>Recognition or participation shall not extinguish an individual or community’s separate property, treaty, civil-rights, or restitution claim. No nation may purport to release the claims of nonconsenting persons solely through a founding affiliation.</w:t>
      </w:r>
    </w:p>
    <w:p>
      <w:pPr>
        <w:pStyle w:val="Heading2"/>
      </w:pPr>
      <w:r>
        <w:t>SEC. 1202. JUDICIAL REMEDIES.</w:t>
      </w:r>
    </w:p>
    <w:p>
      <w:pPr>
        <w:widowControl/>
      </w:pPr>
      <w:r>
        <w:rPr>
          <w:b/>
        </w:rPr>
        <w:t>(a) Federal review.—</w:t>
      </w:r>
      <w:r>
        <w:t>The district courts of the United States shall have jurisdiction over civil actions arising under this Act, including disputes concerning the limits of a nation’s jurisdiction, certification, compact enforcement within an express waiver, and prospective relief against an officer responsible for an ongoing violation of rights secured by this Act. Sovereign immunity is expressly abrogated for declaratory and prospective injunctive relief against the nation where relief against an officer would be inadequate. This subsection does not generally authorize damages against a nation.</w:t>
      </w:r>
    </w:p>
    <w:p>
      <w:pPr>
        <w:widowControl/>
      </w:pPr>
      <w:r>
        <w:rPr>
          <w:b/>
        </w:rPr>
        <w:t>(b) National remedies.—</w:t>
      </w:r>
      <w:r>
        <w:t>A claimant ordinarily shall exhaust available and adequate national remedies before obtaining federal review of an internal national decision. Exhaustion is not required when jurisdiction is plainly absent, proceedings are conducted in bad faith, no adequate remedy exists, or delay threatens irreparable injury. A federal court shall decide the existence of federal statutory authority and constitutional rights without treating a national court’s assertion of jurisdiction as conclusive.</w:t>
      </w:r>
    </w:p>
    <w:p>
      <w:pPr>
        <w:widowControl/>
      </w:pPr>
      <w:r>
        <w:rPr>
          <w:b/>
        </w:rPr>
        <w:t>(c) Detention.—</w:t>
      </w:r>
      <w:r>
        <w:t>Any person detained under authority of a Garden nation may petition a United States district court for habeas corpus to test the legality of detention. National officials shall comply with a lawful writ and shall not obstruct access to counsel or the court.</w:t>
      </w:r>
    </w:p>
    <w:p>
      <w:pPr>
        <w:widowControl/>
      </w:pPr>
      <w:r>
        <w:rPr>
          <w:b/>
        </w:rPr>
        <w:t>(d) Recognition.—</w:t>
      </w:r>
      <w:r>
        <w:t>The Secretary may require correction of a material certification defect or refer fraud for enforcement. National recognition may be terminated only by an Act of Congress or a final federal judgment establishing that certification was unlawfully procured or is constitutionally invalid. Enterprise enforcement shall otherwise proceed against the particular authorization or wrongdoer.</w:t>
      </w:r>
    </w:p>
    <w:p>
      <w:pPr>
        <w:pStyle w:val="Heading1"/>
      </w:pPr>
      <w:r>
        <w:t>TITLE XIII  IMPLEMENTATION AND CONTINUITY</w:t>
      </w:r>
    </w:p>
    <w:p>
      <w:pPr>
        <w:pStyle w:val="Heading2"/>
      </w:pPr>
      <w:r>
        <w:t>SEC. 1301. RULES AND CONGRESSIONAL REVIEW.</w:t>
      </w:r>
    </w:p>
    <w:p>
      <w:pPr>
        <w:widowControl/>
      </w:pPr>
      <w:r>
        <w:rPr>
          <w:b/>
        </w:rPr>
        <w:t>(a) Rules.—</w:t>
      </w:r>
      <w:r>
        <w:t>Within 180 days after enactment, the Secretary shall publish proposed rules governing certification, enrollment evidence and privacy, compact review, and fees. Final rules shall follow public comment and consultation with prospective founding communities, States, and interested Indian tribes. Consultation creates no authority to veto another community’s lawful founding application. Industry rules shall be completed before operations begin.</w:t>
      </w:r>
    </w:p>
    <w:p>
      <w:pPr>
        <w:widowControl/>
      </w:pPr>
      <w:r>
        <w:rPr>
          <w:b/>
        </w:rPr>
        <w:t>(b) Review.—</w:t>
      </w:r>
      <w:r>
        <w:t>Beginning 5 years after enactment, and every 5 years thereafter, the Comptroller General shall report on governmental functioning, citizen participation, economic results, concentration of benefits, effects on existing markets and communities, rights enforcement, costs and recoveries, and compliance with the Act. Reports shall distinguish established results from projections and identify provisions requiring congressional action.</w:t>
      </w:r>
    </w:p>
    <w:p>
      <w:pPr>
        <w:widowControl/>
      </w:pPr>
      <w:r>
        <w:rPr>
          <w:b/>
        </w:rPr>
        <w:t>(c) Sunset.—</w:t>
      </w:r>
      <w:r>
        <w:t>Authority to certify a new exclusive enterprise compact expires 15 years after enactment unless renewed by Congress. Timely pending applications may be decided for one additional year. The expiration does not terminate national recognition, citizenship, courts, lawful nonexclusive enterprises, valid land arrangements, existing compact terms, accrued claims, or required Fund repayments. No existing exclusivity is extended by this savings provision.</w:t>
      </w:r>
    </w:p>
    <w:p>
      <w:pPr>
        <w:pStyle w:val="Heading2"/>
      </w:pPr>
      <w:r>
        <w:t>SEC. 1302. CONSTRUCTION AND SEVERABILITY.</w:t>
      </w:r>
    </w:p>
    <w:p>
      <w:pPr>
        <w:widowControl/>
      </w:pPr>
      <w:r>
        <w:rPr>
          <w:b/>
        </w:rPr>
        <w:t>(a) Existing Indian nations.—</w:t>
      </w:r>
      <w:r>
        <w:t>Nothing in this Act diminishes the sovereignty, lands, treaties, recognition, resources, statutory eligibility, or compact rights of any Indian tribe. A reference to Indian law establishes only the specific corresponding rule expressly incorporated by this Act. Appropriations reserved for existing Indian programs shall not be diverted to Garden nations under this Act without further congressional authorization.</w:t>
      </w:r>
    </w:p>
    <w:p>
      <w:pPr>
        <w:widowControl/>
      </w:pPr>
      <w:r>
        <w:rPr>
          <w:b/>
        </w:rPr>
        <w:t>(b) No blanket repeal.—</w:t>
      </w:r>
      <w:r>
        <w:t>No federal law is repealed or displaced except to the extent expressly stated. A compact shall not amend a federal statute. A regulation shall not enlarge an exception beyond the activity and safeguards Congress authorized.</w:t>
      </w:r>
    </w:p>
    <w:p>
      <w:pPr>
        <w:widowControl/>
      </w:pPr>
      <w:r>
        <w:rPr>
          <w:b/>
        </w:rPr>
        <w:t>(c) Severability.—</w:t>
      </w:r>
      <w:r>
        <w:t>If a provision or application of this Act is held invalid, remaining provisions and applications shall continue to the extent they can operate consistently with congressional intent and individual rights. A court shall not use severability to convert the nations into private associations, open eligibility to a different beneficiary class, or expand a federal criminal jurisdiction or commercial exception that Congress did not enact. Congress shall determine any replacement framework requiring such a change.</w:t>
      </w:r>
    </w:p>
    <w:p>
      <w:pPr>
        <w:pStyle w:val="Heading2"/>
      </w:pPr>
      <w:r>
        <w:t>SEC. 1303. EFFECTIVE DATE.</w:t>
      </w:r>
    </w:p>
    <w:p>
      <w:pPr>
        <w:widowControl/>
      </w:pPr>
      <w:r>
        <w:t>This Act takes effect on enactment. A power conditioned on certification, funding, land designation, a compact, or regulatory approval shall become exercisable only after its specified conditions are satisfied.</w:t>
      </w:r>
    </w:p>
    <w:sectPr w:rsidR="00FC693F" w:rsidRPr="0006063C" w:rsidSect="00034616">
      <w:footerReference w:type="default" r:id="rId9"/>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Garden Act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Garden National Restoration and Economic Self Government Act</dc:title>
  <dc:subject>Proposed federal legislation for self governing descendant nations</dc:subject>
  <dc:creator>Phillip Galinsky</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