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sz w:val="48"/>
          <w:szCs w:val="48"/>
        </w:rPr>
        <w:t xml:space="preserve">Iran War Escalation Timeline</w:t>
      </w:r>
    </w:p>
    <w:p>
      <w:pPr>
        <w:spacing w:after="200" w:before="0"/>
        <w:jc w:val="center"/>
      </w:pPr>
      <w:r>
        <w:rPr>
          <w:rFonts w:ascii="Arial" w:cs="Arial" w:eastAsia="Arial" w:hAnsi="Arial"/>
          <w:b w:val="false"/>
          <w:bCs w:val="false"/>
          <w:color w:val="404040"/>
          <w:sz w:val="32"/>
          <w:szCs w:val="32"/>
        </w:rPr>
        <w:t xml:space="preserve">Risk Manager Briefing Pack</w:t>
      </w:r>
    </w:p>
    <w:p>
      <w:pPr>
        <w:spacing w:after="100" w:before="200"/>
        <w:jc w:val="center"/>
      </w:pPr>
      <w:r>
        <w:rPr>
          <w:rFonts w:ascii="Arial" w:cs="Arial" w:eastAsia="Arial" w:hAnsi="Arial"/>
          <w:sz w:val="22"/>
          <w:szCs w:val="22"/>
        </w:rPr>
        <w:t xml:space="preserve">Coverage: 11 March 2026 – 10 May 2026  •  61 daily HorizonScan reports</w:t>
      </w:r>
    </w:p>
    <w:p>
      <w:pPr>
        <w:spacing w:after="100" w:before="80"/>
        <w:jc w:val="center"/>
      </w:pPr>
      <w:r>
        <w:rPr>
          <w:rFonts w:ascii="Arial" w:cs="Arial" w:eastAsia="Arial" w:hAnsi="Arial"/>
          <w:sz w:val="22"/>
          <w:szCs w:val="22"/>
        </w:rPr>
        <w:t xml:space="preserve">Generated: 11 May 2026</w:t>
      </w:r>
    </w:p>
    <w:p>
      <w:pPr>
        <w:spacing w:after="100" w:before="80"/>
        <w:jc w:val="center"/>
      </w:pPr>
      <w:r>
        <w:rPr>
          <w:rFonts w:ascii="Arial" w:cs="Arial" w:eastAsia="Arial" w:hAnsi="Arial"/>
          <w:sz w:val="22"/>
          <w:szCs w:val="22"/>
        </w:rPr>
        <w:t xml:space="preserve">Audience: CEO, COO, CRO, Board Risk Committee</w:t>
      </w:r>
    </w:p>
    <w:p>
      <w:pPr>
        <w:spacing w:after="400" w:before="80"/>
        <w:jc w:val="center"/>
      </w:pPr>
      <w:r>
        <w:rPr>
          <w:rFonts w:ascii="Arial" w:cs="Arial" w:eastAsia="Arial" w:hAnsi="Arial"/>
          <w:i/>
          <w:iCs/>
          <w:color w:val="8B0000"/>
          <w:sz w:val="22"/>
          <w:szCs w:val="22"/>
        </w:rPr>
        <w:t xml:space="preserve">Classification: Internal — Risk &amp; BCP use only</w:t>
      </w:r>
    </w:p>
    <w:p>
      <w:pPr>
        <w:pStyle w:val="Heading1"/>
        <w:spacing w:after="200" w:before="320"/>
      </w:pPr>
      <w:r>
        <w:rPr>
          <w:rFonts w:ascii="Arial" w:cs="Arial" w:eastAsia="Arial" w:hAnsi="Arial"/>
          <w:b/>
          <w:bCs/>
          <w:sz w:val="32"/>
          <w:szCs w:val="32"/>
        </w:rPr>
        <w:t xml:space="preserve">Executive summary</w:t>
      </w:r>
    </w:p>
    <w:p>
      <w:pPr>
        <w:spacing w:after="80" w:before="80" w:line="300"/>
        <w:jc w:val="left"/>
      </w:pPr>
      <w:r>
        <w:rPr>
          <w:rFonts w:ascii="Arial" w:cs="Arial" w:eastAsia="Arial" w:hAnsi="Arial"/>
          <w:b w:val="false"/>
          <w:bCs w:val="false"/>
          <w:i w:val="false"/>
          <w:iCs w:val="false"/>
          <w:sz w:val="22"/>
          <w:szCs w:val="22"/>
        </w:rPr>
        <w:t xml:space="preserve">Across 61 daily HorizonScan reports covering 11 March to 10 May 2026, the war's escalation curve traces five distinct phases: an opening kinetic phase against Kuwait and the wider GCC, a Hormuz closure and oil-export halt, a steady accumulation of cyber-financial sector threats, a fragile and adversarial ceasefire-and-pause cycle, and a renewed Project Freedom kinetic phase in early May. The trajectory is upward, with three lower-intensity windows (8 April ceasefire, 17–22 April Hormuz re-opening attempt, 6 May Project Freedom pause) each reversed within days.</w:t>
      </w:r>
    </w:p>
    <w:p>
      <w:pPr>
        <w:spacing w:after="80" w:before="80" w:line="300"/>
        <w:jc w:val="left"/>
      </w:pPr>
      <w:r>
        <w:rPr>
          <w:rFonts w:ascii="Arial" w:cs="Arial" w:eastAsia="Arial" w:hAnsi="Arial"/>
          <w:b w:val="false"/>
          <w:bCs w:val="false"/>
          <w:i w:val="false"/>
          <w:iCs w:val="false"/>
          <w:sz w:val="22"/>
          <w:szCs w:val="22"/>
        </w:rPr>
        <w:t xml:space="preserve">Seven incidents materially changed the bank's BCP posture: the 28 February opening salvo and KWI closure (full BCP invocation); the 7 March KPC force-majeure declaration (liquidity-buffer extension); the 1 April IRGC naming of J.P. Morgan among 18 US firms as legitimate targets (cyber posture escalated to highest); the 7 April CISA AA26-097A OT advisory (OT/ICS asset inventory and segmentation review); the 13 April Islamabad collapse and US naval blockade (Phase-2 BCP activation, 24×7 SOC watch); the 28 April UAE OPEC exit combined with the 30 April Brent wartime high of $126.10 (KWD/USD peg stress test); and the 4–5 May UAE largest salvo combined with the 6 May MuddyWater Teams advisory (APT34 zero-tolerance remediation deadline).</w:t>
      </w:r>
    </w:p>
    <w:p>
      <w:pPr>
        <w:spacing w:after="80" w:before="80" w:line="300"/>
        <w:jc w:val="left"/>
      </w:pPr>
      <w:r>
        <w:rPr>
          <w:rFonts w:ascii="Arial" w:cs="Arial" w:eastAsia="Arial" w:hAnsi="Arial"/>
          <w:b w:val="false"/>
          <w:bCs w:val="false"/>
          <w:i w:val="false"/>
          <w:iCs w:val="false"/>
          <w:sz w:val="22"/>
          <w:szCs w:val="22"/>
        </w:rPr>
        <w:t xml:space="preserve">As of the latest report on 10 May, the standing posture is unchanged in substance: KWI partial; KPC force majeure intact; Hormuz dual-blockaded; FATF Increased Monitoring active; AWRP at 7–8× pre-war levels; cyber posture at maximum readiness for the APT34 peak attack window opening 11 May. The CIA's 3–4 month blockade-survival assessment and Iran's deliberate non-response to the US MOU mean BCP and liquidity buffers should be held through at least end-Q3 2026.</w:t>
      </w:r>
    </w:p>
    <w:p>
      <w:pPr>
        <w:pStyle w:val="Heading1"/>
        <w:spacing w:after="200" w:before="320"/>
      </w:pPr>
      <w:r>
        <w:rPr>
          <w:rFonts w:ascii="Arial" w:cs="Arial" w:eastAsia="Arial" w:hAnsi="Arial"/>
          <w:b/>
          <w:bCs/>
          <w:sz w:val="32"/>
          <w:szCs w:val="32"/>
        </w:rPr>
        <w:t xml:space="preserve">Escalation timeline</w:t>
      </w:r>
    </w:p>
    <w:p>
      <w:pPr>
        <w:spacing w:after="80" w:before="80" w:line="300"/>
        <w:jc w:val="left"/>
      </w:pPr>
      <w:r>
        <w:rPr>
          <w:rFonts w:ascii="Arial" w:cs="Arial" w:eastAsia="Arial" w:hAnsi="Arial"/>
          <w:b w:val="false"/>
          <w:bCs w:val="false"/>
          <w:i/>
          <w:iCs/>
          <w:color w:val="595959"/>
          <w:sz w:val="20"/>
          <w:szCs w:val="20"/>
        </w:rPr>
        <w:t xml:space="preserve">Chronological, oldest at top. Each row meets at least one of six inclusion thresholds; severity and source confidence are justified inline. BCP actions are lifted from sections 5 and 5A of the daily report where stated, prefixed "Inferred:" otherwise.</w:t>
      </w:r>
    </w:p>
    <w:tbl>
      <w:tblPr>
        <w:tblW w:type="dxa" w:w="19814"/>
        <w:tblBorders>
          <w:top w:val="single" w:color="auto" w:sz="4"/>
          <w:left w:val="single" w:color="auto" w:sz="4"/>
          <w:bottom w:val="single" w:color="auto" w:sz="4"/>
          <w:right w:val="single" w:color="auto" w:sz="4"/>
          <w:insideH w:val="single" w:color="auto" w:sz="4"/>
          <w:insideV w:val="single" w:color="auto" w:sz="4"/>
        </w:tblBorders>
      </w:tblPr>
      <w:tblGrid>
        <w:gridCol w:w="1700"/>
        <w:gridCol w:w="5500"/>
        <w:gridCol w:w="1700"/>
        <w:gridCol w:w="1300"/>
        <w:gridCol w:w="3400"/>
        <w:gridCol w:w="3900"/>
        <w:gridCol w:w="1300"/>
        <w:gridCol w:w="1014"/>
      </w:tblGrid>
      <w:tr>
        <w:trPr>
          <w:tblHeader/>
        </w:trPr>
        <w:tc>
          <w:tcPr>
            <w:tcW w:type="dxa" w:w="17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pPr>
              <w:spacing w:after="0" w:before="0" w:line="260"/>
            </w:pPr>
            <w:r>
              <w:rPr>
                <w:rFonts w:ascii="Arial" w:cs="Arial" w:eastAsia="Arial" w:hAnsi="Arial"/>
                <w:b/>
                <w:bCs/>
                <w:sz w:val="18"/>
                <w:szCs w:val="18"/>
              </w:rPr>
              <w:t xml:space="preserve">Date</w:t>
            </w:r>
          </w:p>
        </w:tc>
        <w:tc>
          <w:tcPr>
            <w:tcW w:type="dxa" w:w="55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pPr>
              <w:spacing w:after="0" w:before="0" w:line="260"/>
            </w:pPr>
            <w:r>
              <w:rPr>
                <w:rFonts w:ascii="Arial" w:cs="Arial" w:eastAsia="Arial" w:hAnsi="Arial"/>
                <w:b/>
                <w:bCs/>
                <w:sz w:val="18"/>
                <w:szCs w:val="18"/>
              </w:rPr>
              <w:t xml:space="preserve">Incident</w:t>
            </w:r>
          </w:p>
        </w:tc>
        <w:tc>
          <w:tcPr>
            <w:tcW w:type="dxa" w:w="17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pPr>
              <w:spacing w:after="0" w:before="0" w:line="260"/>
            </w:pPr>
            <w:r>
              <w:rPr>
                <w:rFonts w:ascii="Arial" w:cs="Arial" w:eastAsia="Arial" w:hAnsi="Arial"/>
                <w:b/>
                <w:bCs/>
                <w:sz w:val="18"/>
                <w:szCs w:val="18"/>
              </w:rPr>
              <w:t xml:space="preserve">Category</w:t>
            </w:r>
          </w:p>
        </w:tc>
        <w:tc>
          <w:tcPr>
            <w:tcW w:type="dxa" w:w="13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pPr>
              <w:spacing w:after="0" w:before="0" w:line="260"/>
            </w:pPr>
            <w:r>
              <w:rPr>
                <w:rFonts w:ascii="Arial" w:cs="Arial" w:eastAsia="Arial" w:hAnsi="Arial"/>
                <w:b/>
                <w:bCs/>
                <w:sz w:val="18"/>
                <w:szCs w:val="18"/>
              </w:rPr>
              <w:t xml:space="preserve">Severity</w:t>
            </w:r>
          </w:p>
        </w:tc>
        <w:tc>
          <w:tcPr>
            <w:tcW w:type="dxa" w:w="34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pPr>
              <w:spacing w:after="0" w:before="0" w:line="260"/>
            </w:pPr>
            <w:r>
              <w:rPr>
                <w:rFonts w:ascii="Arial" w:cs="Arial" w:eastAsia="Arial" w:hAnsi="Arial"/>
                <w:b/>
                <w:bCs/>
                <w:sz w:val="18"/>
                <w:szCs w:val="18"/>
              </w:rPr>
              <w:t xml:space="preserve">What changed for Kuwait</w:t>
            </w:r>
          </w:p>
        </w:tc>
        <w:tc>
          <w:tcPr>
            <w:tcW w:type="dxa" w:w="39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pPr>
              <w:spacing w:after="0" w:before="0" w:line="260"/>
            </w:pPr>
            <w:r>
              <w:rPr>
                <w:rFonts w:ascii="Arial" w:cs="Arial" w:eastAsia="Arial" w:hAnsi="Arial"/>
                <w:b/>
                <w:bCs/>
                <w:sz w:val="18"/>
                <w:szCs w:val="18"/>
              </w:rPr>
              <w:t xml:space="preserve">BCP / risk action triggered</w:t>
            </w:r>
          </w:p>
        </w:tc>
        <w:tc>
          <w:tcPr>
            <w:tcW w:type="dxa" w:w="1300"/>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pPr>
              <w:spacing w:after="0" w:before="0" w:line="260"/>
            </w:pPr>
            <w:r>
              <w:rPr>
                <w:rFonts w:ascii="Arial" w:cs="Arial" w:eastAsia="Arial" w:hAnsi="Arial"/>
                <w:b/>
                <w:bCs/>
                <w:sz w:val="18"/>
                <w:szCs w:val="18"/>
              </w:rPr>
              <w:t xml:space="preserve">Source conf.</w:t>
            </w:r>
          </w:p>
        </w:tc>
        <w:tc>
          <w:tcPr>
            <w:tcW w:type="dxa" w:w="1014"/>
            <w:tcBorders>
              <w:top w:val="single" w:color="BBBBBB" w:sz="4"/>
              <w:left w:val="single" w:color="BBBBBB" w:sz="4"/>
              <w:bottom w:val="single" w:color="BBBBBB" w:sz="4"/>
              <w:right w:val="single" w:color="BBBBBB" w:sz="4"/>
            </w:tcBorders>
            <w:shd w:fill="D5E8F0" w:val="clear"/>
            <w:tcMar>
              <w:top w:type="dxa" w:w="80"/>
              <w:left w:type="dxa" w:w="100"/>
              <w:bottom w:type="dxa" w:w="80"/>
              <w:right w:type="dxa" w:w="100"/>
            </w:tcMar>
          </w:tcPr>
          <w:p>
            <w:pPr>
              <w:spacing w:after="0" w:before="0" w:line="260"/>
            </w:pPr>
            <w:r>
              <w:rPr>
                <w:rFonts w:ascii="Arial" w:cs="Arial" w:eastAsia="Arial" w:hAnsi="Arial"/>
                <w:b/>
                <w:bCs/>
                <w:sz w:val="18"/>
                <w:szCs w:val="18"/>
              </w:rPr>
              <w:t xml:space="preserve">Report #</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28 Feb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Conflict onset. US-Israel "Operation Epic Fury" begins; Supreme Leader Khamenei and senior IRGC commanders killed in opening strikes. Iran launches simultaneous ballistic-missile and drone retaliation against all six GCC states. First Iranian strikes on Kuwait City, KWI airport perimeter and Public Institution for Social Security building.</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Kinetic-Kuwait / Kinetic-GCC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Active strikes on Kuwait soil, civilian and military targets.</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KWI Airport CLOSED to all commercial traffic from 28 Feb; airspace NOTAM at all altitudes; Kuwait declares right of self-defence under UN Charter Art. 51; PIFSS HQ in-person services suspended.</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 Banking Association (KBA): full BCP invoked — all banks operational, several HQs closed as precaution, staff to remote, ATMs replenished; digital channels 24/7. Shelter-in-place protocols active on every siren.</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 (11 Mar) → confirmed across #1–#5</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28 Feb 2026 (effective 3 Mar)</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Lloyd's Joint War Committee adds Kuwait, Bahrain, Oman and Qatar to the Hull War Listed Areas (JWLA-033). Additional War Risk Premium prices to ~1% of H&amp;M value per voyage — approximately 7–8× pre-war levels.</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Sanctions / Regulatory</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Repricing of every Gulf-transiting hull and cargo policy.</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Voyage-by-voyage individual negotiation now required for any Kuwait-bound hull; cargo insurance forms based on pre-war standard wordings are no longer valid.</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Trade-finance and cargo insurance underwriting repriced; review of all open L/Cs covering Kuwaiti counterparties for war-risk and force-majeure clauses. Confirm coverage is on post-listing terms before drawdown.</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 (11 Mar) → #61 (10 May)</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28 Feb 2026 onward</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Strait of Hormuz effective closure. Iranian mine-laying confirmed; US destroys 16 minelayers on 10 March. Tanker traffic falls from ~138/day pre-war to single digits; ~280 bulk carriers stranded outside the Gulf within two weeks. Iran's IRGC explicitly declares no oil transit will be permitted.</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Hormuz / Oil</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Single largest energy supply disruption in IEA history.</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Kuwait's primary export channel closed. KWI air channel closed simultaneously means physical document and cash courier impossible by air. Sole resilient artery is the Saudi land bridge (Nuwaisib, Salmi, Abdali).</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Liquidity buffer extension and FX-reserve drawdown plan; force-majeure clauses invoked on oil-linked credit; correspondent-banking review for UAE/Bahrain clearing dependencies; commodity desks stress-tested for $130+ Brent.</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 (11 Mar) → re-confirmed daily through #61</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7 Mar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 Petroleum Corporation declares force majeure on oil and gas exports; KPC begins reducing output. UAE simultaneously announces output cuts.</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Hormuz / Oil</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Sovereign revenue stream contractually suspended.</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 crude exports curtailed; storage and refining redirected to domestic needs; sovereign wealth and FX reserves now bear the full fiscal burden.</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Sovereign-credit and KPC counterparty exposures revalued; FY2026 budget stress test; KWD/USD peg stress monitoring tripwire set at $115 Brent.</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#6 (16 Mar) → #57 (5 May)</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8 Mar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Multiple drones strike KWI airport perimeter; fuel-tank explosions and debris damage to Terminal 1; nine airport workers injured. Airport remains closed; radar damaged.</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Kuwait-Domestic / Kinetic-Kuwait</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First mass-casualty hit on civilian critical infrastructure.</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KWI structural and radar damage adds weeks to any reopening estimate; non-emergency US Embassy personnel ordered out from 3 Mar; Western governments order evacuations.</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Inferred: branch HQ partial-closure with staff failover to remote; HR duty-of-care activation for expat staff; overland evacuation playbook via Saudi border opened.</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 → #2</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11–13 Mar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At least three commercial vessels struck in Strait of Hormuz on 11 March (Mayuree Naree fire, 3 crew missing). Bahrain refinery and Sitra residential area hit; Bahrain declares force majeure on oil. AWS facilities in UAE and Bahrain reported struck.</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Hormuz / Oil + Cyber-FS (infra)</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First confirmed strikes on Gulf-hosted cloud infrastructure.</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Gulf-hosted cloud DR/failover assumptions invalidated for any Kuwaiti FI relying on UAE or Bahrain availability zones.</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DR/failover test against non-Gulf regions; verify RPO/RTO assumptions; move critical workloads off Gulf availability zones where contractually possible.</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 (12 Mar) → #4 (14 Mar)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12 Mar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Six major Kuwait overhead power transmission lines knocked out by intercept debris; partial outages across residential and commercial districts (restored within hours by MEW).</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Kuwait-Domestic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High</w:t>
            </w:r>
          </w:p>
          <w:p>
            <w:pPr>
              <w:spacing w:after="0" w:before="0" w:line="240"/>
            </w:pPr>
            <w:r>
              <w:rPr>
                <w:rFonts w:ascii="Arial" w:cs="Arial" w:eastAsia="Arial" w:hAnsi="Arial"/>
                <w:i/>
                <w:iCs/>
                <w:color w:val="595959"/>
                <w:sz w:val="16"/>
                <w:szCs w:val="16"/>
              </w:rPr>
              <w:t xml:space="preserve">First confirmed civilian-infrastructure outage attributable to the war.</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 grid demonstrated vulnerability to intercept debris; risk of cascading outages to data centres and branch networks.</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UPS/generator endurance test at all data centres; fuel-reserve verification; brief facilities on rolling-outage probability.</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#3 (13 Mar)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15 Mar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Ahmed Al-Jaber Air Base hit by two drones; three Kuwaiti soldiers injured. UAE Fujairah bunkering hub fire after intercept debris falls during interception; oil loading suspended.</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Kinetic-Kuwait / Kinetic-GCC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Direct strike on US-allied air base on Kuwaiti soil.</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Bahrain desalination plants struck same day; Kuwait desalination infrastructure flagged as elevated-risk target (90% of drinking water).</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Verify backup water sourcing and fuel reserves for backup power; review proximity-of-staff to Camp Arifjan and Ahmed Al-Jaber security perimeters.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#5 (15 Mar)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15–16 Mar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Ali Al Salem Air Base struck. Italian Air Force MQ-9A Predator destroyed inside a protected shelter ($30–35M loss). Italian Foreign Minister summons Iranian ambassador.</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Kinetic-Kuwait / Diplomatic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First loss of NATO-allied military aircraft on Kuwaiti soil.</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Raises probability of NATO Article 4 consultations; Iran demonstrates intent to attack visible US/NATO assets in-theatre.</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Inferred: review of staff with proximity to Ali Al Salem / Camp Buehring; vendor and contractor reviews for any with bases on or adjacent to the installation.</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#6 (16 Mar) → #23 (2 Apr, repeat strike)</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17 Mar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 MOI dismantles 16-person Hezbollah-affiliated sabotage cell (14 Kuwaiti, 2 Lebanese nationals); seizures include firearms, encrypted comms (Morse-code radios), drones, ammunition. Qatar and Bahrain announce parallel IRGC-linked espionage arrests.</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Sanctions / Regulatory (domestic security)</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High</w:t>
            </w:r>
          </w:p>
          <w:p>
            <w:pPr>
              <w:spacing w:after="0" w:before="0" w:line="240"/>
            </w:pPr>
            <w:r>
              <w:rPr>
                <w:rFonts w:ascii="Arial" w:cs="Arial" w:eastAsia="Arial" w:hAnsi="Arial"/>
                <w:i/>
                <w:iCs/>
                <w:color w:val="595959"/>
                <w:sz w:val="16"/>
                <w:szCs w:val="16"/>
              </w:rPr>
              <w:t xml:space="preserve">Confirms active in-country threat network.</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Internal-security threat surface confirmed: targeting coordinates were being transmitted from Kuwaiti soil. Sets the stage for FATF and AML escalation later in the timeline.</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Inferred: enhanced staff and contractor screening; insider-threat review; tightening of access controls for any Lebanese-corridor financial flows.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#7 (17 Mar) → confirmed #8</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17–18 Mar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Israel kills Ali Larijani, Secretary of Iran's Supreme National Security Council — the highest-ranking Iranian official killed since Khamenei. Iran retaliates: IRGC claims strikes on 100+ Israeli targets; Iran's Commander-in-Chief warns response will be "decisive and regrettable".</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Diplomatic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Decapitation campaign deepens; analyst consensus shifts to "messy escalation".</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BMI and Fitch downgrade ceasefire prospects; intensified retaliatory-strike risk on Gulf US assets in following 24–72 hours.</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Crisis communications channels tested; BCP activation status reconfirmed; key-person succession reviewed for Kuwait offices.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#8 (18 Mar)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19 Mar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 launches National Emergency Alert System using cellular broadcasting. US begins aerial campaign to reopen Strait. Israel strikes Iran's South Pars natural gas field.</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Kuwait-Domestic / Hormuz</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Medium (Kuwait-domestic)</w:t>
            </w:r>
          </w:p>
          <w:p>
            <w:pPr>
              <w:spacing w:after="0" w:before="0" w:line="240"/>
            </w:pPr>
            <w:r>
              <w:rPr>
                <w:rFonts w:ascii="Arial" w:cs="Arial" w:eastAsia="Arial" w:hAnsi="Arial"/>
                <w:i/>
                <w:iCs/>
                <w:color w:val="595959"/>
                <w:sz w:val="16"/>
                <w:szCs w:val="16"/>
              </w:rPr>
              <w:t xml:space="preserve">First nationwide cellular alert layer added to siren network.</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 gains a second public-warning channel beyond MOI sirens; baseline civil-defence posture deepens.</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Staff comms playbook updated to include cellular alerts; Kuwait-based personnel rosters updated with valid mobile numbers.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#10 (20 Mar)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20 Mar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Mina Al-Ahmadi refinery (730,000 bpd, Kuwait's largest) hit by Iranian drones for the second consecutive day during Eid al-Fitr; multiple processing units shut down.</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Kuwait-Domestic / Hormuz</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Largest Kuwait refinery taken partially offline.</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Domestic fuel supply at risk; pressure on backup-power fuel reserves for FIs.</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Generator-fuel allocation reviewed; petrochemical and downstream client exposures stress-tested.</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#11 (21 Mar) → re-struck #14, #23, #25</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22–23 Mar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Trump issues 48-hour Hormuz ultimatum: "obliterate" Iran's power plants if strait is not reopened. Iran refuses. Brent rises to $110+; intraday peak $126.</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Diplomatic / Hormuz</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First named binary trigger event in the war.</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Brent volatility regime shifts; Kuwait's KWD/USD peg pressure becomes a live monitoring item.</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Treasury sets $115 Brent tripwire for KWD/USD stress test; energy-linked credit margin buffers raised; intraday MTM monitoring intensified.</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#12 (22 Mar)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24 Mar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Seven Kuwait overhead power transmission lines knocked out by intercept debris; partial outages in several governorates. MEW activates Emergency Alternative Recovery Plan.</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Kuwait-Domestic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High</w:t>
            </w:r>
          </w:p>
          <w:p>
            <w:pPr>
              <w:spacing w:after="0" w:before="0" w:line="240"/>
            </w:pPr>
            <w:r>
              <w:rPr>
                <w:rFonts w:ascii="Arial" w:cs="Arial" w:eastAsia="Arial" w:hAnsi="Arial"/>
                <w:i/>
                <w:iCs/>
                <w:color w:val="595959"/>
                <w:sz w:val="16"/>
                <w:szCs w:val="16"/>
              </w:rPr>
              <w:t xml:space="preserve">Largest single-day grid damage of the conflict to date.</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Cumulative grid fragility; rolling outages now a baseline operating assumption.</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Re-validate UPS endurance and diesel reserves at all critical sites; pre-position diesel deliveries; defer non-essential power-intensive batch processing to off-peak hours.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#14 (24 Mar) → #16 (26 Mar)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25–26 Mar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Second KWI fuel-tank strike on 25 March. Iran's "Tehran Toll Booth" formalised: letter to 176 IMO members announces non-hostile vessels may transit Hormuz subject to IRGC vetting and fees reportedly up to $2M per transit (paid in yuan).</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Hormuz / Oil / Sanctions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Iran asserts sovereign control over the strait; pre-war pricing models obsolete.</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Bunkering and freight costs structurally repriced; sanctions exposure for Kuwaiti FIs handling yuan-denominated freight-related payments.</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OFAC and CBK sanctions compliance review for any yuan-denominated bunkering payments; commodity-trade-finance pricing benchmarks updated.</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#16 (26 Mar), #17 (27 Mar)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27 Mar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Shuwaikh Port — Kuwait's primary commercial maritime hub — struck by Iranian drones at dawn. Mubarak Al-Kabeer Port (under construction) also targeted. Prince Sultan Air Base in Saudi Arabia hit; 10–15 US service members injured.</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Kinetic-Kuwait / Kinetic-GCC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Strike on Kuwait's primary commercial port.</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Combined with KWI closure, Kuwait's two main air and sea inflow points are simultaneously degraded. Oman bonded-trucking routing (CMA CGM) becomes load-bearing for Kuwaiti imports.</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Supply-chain reroute via Oman and Saudi land bridge formalised; emergency import surcharges absorbed by Ministry of Commerce; client trade-finance pricing repriced.</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#18 (28 Mar)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28–29 Mar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Houthis (Yemen) formally enter the conflict; first ballistic-missile attack on Israel since the war began. Brent surges to $112.57 on Iran rejection of negotiations.</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Diplomatic / Hormuz</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Conflict becomes multi-theatre; Bab-el-Mandeb risk re-introduced.</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Bab-el-Mandeb and Red Sea routing — Kuwait's potential alternative to Hormuz for some flows — re-enters the threat surface.</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Red Sea alternative-route plans re-examined; insurance cover for Bab-el-Mandeb transits verified; review of any Houthi-claimed-targets list for Kuwait-flagged exposure.</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#19 (29 Mar)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29–30 Mar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 power-and-water desalination plant service building struck. One Indian worker killed (first civilian fatality from a direct Iranian strike on Kuwait); 10 Kuwaiti soldiers injured overnight.</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Kinetic-Kuwait / Kuwait-Domestic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First civilian death from direct strike; water-security threshold crossed.</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 is ~90% desalination-dependent for drinking water. Strike formally adds water security to the BCP risk register.</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Bottled-water reserves at critical sites; HR duty-of-care extended to dependants; review of staff residential proximity to power/water plants.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#20 (30 Mar)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31 Mar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Kuwaiti VLCC Al Salmi struck by Iranian drone at anchor 31 nm NW of Dubai. Hull damaged; fire onboard with potential oil-spill risk; all 24 crew confirmed safe. First confirmed direct attack on a Kuwait-flagged commercial vessel.</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Hormuz / Oil</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Iran demonstrates willingness to strike Kuwait-flagged hulls in foreign waters.</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 Oil Tanker Company exposure re-priced; war-risk premiums on Kuwait-flagged hulls confirm 7–8× elevation.</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Inferred: voyage-by-voyage underwriting for the Kuwait-flagged fleet; review trade-finance facilities collateralised against Kuwait-owned shipping.</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#21 (31 Mar)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KAFCO fuel-storage tanks at KWI airport struck — massive fire, no casualties. Six more power transmission lines knocked out. IRGC names 18 US tech firms including J.P. Morgan Chase as "legitimate targets" alongside Cisco, Oracle, Microsoft, Apple, Google, Nvidia.</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Kinetic-Kuwait / Cyber-FS / Sanctions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First named-bank cyber/physical threat list of the war.</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Cyber risk to FIs sharing cloud, data-centre or correspondent-banking infrastructure with named entities becomes a board-level concern.</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Vendor and counterparty concentration review against IRGC list; cloud failover plans tested off US-hyperscaler dependencies where contractually feasible.</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#22 (1 Apr) → carried forward through #46 (25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Mina Al-Ahmadi struck for the third time. Ali Al Salem Italian garrison struck again — second Italian MQ-9 destroyed and two Eurofighter Typhoons damaged. QatarEnergy tanker Aqua 1 hit by cruise missile north of Ras Laffan.</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Kinetic-Kuwait / Kinetic-GCC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Sustained, repeated targeting of Kuwait energy and NATO assets.</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NATO Article 4 consultation risk reasserted; refinery output further degraded.</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Inferred: domestic fuel-supply contingency planning; verification of any insurance cover dependent on Italian government underwriters.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#23 (2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3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Iran threatens Sheikh Jaber Al-Ahmad Bridge (Kuwait) on state TV as retaliation target alongside King Fahd Causeway and Sheikh Zayed Bridge. Kuwait's Ministry of Commerce and Industry bans drone sales (Ministerial Resolution 31/2026). Kuwait desalination plant struck again — second strike in four days. First US combat aircraft (F-15E) shot down over Iran.</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Kuwait-Domestic / Kinetic-Kuwait</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Named threat to critical Kuwait transport corridor.</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Sheikh Jaber Bridge is the primary northern sea crossing; targeting threat reshapes logistics planning. Resolution 31/2026 is the first standing regulatory measure of the war.</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Review of supplier and staff dependence on the Sheikh Jaber crossing; compliance review for any drone-related vendor agreements; alternative routing plans for north-Kuwait staff.</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#24 (3 Apr) → #25 (4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5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Shuwaikh Oil Sector Complex (housing KPC and Ministry of Oil HQ) struck by Iranian drone; government ministry office complex also struck overnight. Kuwait City PM2.5 AQI surges to 162 (Unhealthy).</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Kuwait-Domestic / Kinetic-Kuwait</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Strike on Kuwait's oil-policy administrative core.</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Air-quality emergency added to the BCP risk register; remote work directive issued for affected government employees.</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HVAC fresh-air intake review; remote-work extension for non-critical staff; respiratory-vulnerable staff allowed to work from home; air-filter purchasing pipeline reviewed.</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#26 (5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6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Two further Kuwait power/desalination plants struck overnight; KNPC and Petrochemical Industries Co. fires confirmed; AQI 167 (Unhealthy) for second consecutive day. Bahrain GPIC and Bapco hit; UAE Borouge and Khor Fakkan Port targeted.</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Kuwait-Domestic / Kinetic-Kuwait</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Coordinated GCC-wide attack on energy infrastructure.</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Sustained AQI-Unhealthy regime; rolling outage risk on the partially-repaired grid.</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Re-validate UPS/generator fuel for all critical sites; pre-position diesel; assess remote-work extension for non-critical staff.</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#27 (6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7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CISA/FBI/NSA/DOE/EPA/US Cyber Command issue joint advisory AA26-097A: Iranian-affiliated CyberAv3ngers / IRGC-CEC actively exploiting internet-facing Rockwell/Allen-Bradley PLCs across US critical infrastructure. 5,219 exposed hosts globally — GCC building-management and data-centre OT shares the attack surface.</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Cyber-FS (OT)</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Highest-grade six-agency advisory of the war's cyber dimension.</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Bank-data-centre OT (HVAC, building management, power) elevated to a primary attack surface; previously latent risk now operational.</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OT/ICS asset inventory; internet-facing PLC audit; segmentation review for building-management and data-centre power; logix-designer access controls re-validated.</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#32 (11 Apr) → carried daily to #61</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8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Two-week ceasefire announced at ~03:30 UTC+3. Iran's Supreme Leader issues halt-fire order; Iran allows 15 vessels through Hormuz. Brent crashes $14 (−13%); WTI crashes $16. First negotiation under Pakistani mediation scheduled.</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Diplomatic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First de-escalation event of the war.</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Oil MTM moves materially; banks revisit war-risk pricing assumptions on energy-linked credit; some institutions tempted to stand down BCP — Risk explicitly counsels against it.</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Treasury revaluation of WTI/Brent spread positions; intraday margin call drill; BCP posture explicitly NOT stood down — "do not interpret price pullback as security normalisation".</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#29 (8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9–10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Israel kills 300+ in Lebanon in a single day — largest one-day bombardment since March 1. Iran declares this a "grave violation" of the ceasefire. Drone attacks reported on Kuwait National Guard installation (10 Apr). NYT reveals Iran cannot locate or remove all the mines it deployed in Hormuz.</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Diplomatic / Hormuz</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Hormuz physical reopening shifts from a political to a months-long demining horizon.</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BCP horizon extends from "weeks" to "2–3 months" at minimum for shipping normalisation.</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Trade-finance and LNG-pricing exposures re-modelled under 2–3 month extended Hormuz disruption; commodity-linked credit lines tightened.</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#31 (10 Apr), #32 (11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12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 MOI State Security disrupts a transnational terror-financing network: 24 Kuwaiti citizens arrested for collecting and transmitting funds to designated terrorist entities. Islamabad talks Day 1 concludes with no agreement after 21 hours.</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Sanctions / Regulatory</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High</w:t>
            </w:r>
          </w:p>
          <w:p>
            <w:pPr>
              <w:spacing w:after="0" w:before="0" w:line="240"/>
            </w:pPr>
            <w:r>
              <w:rPr>
                <w:rFonts w:ascii="Arial" w:cs="Arial" w:eastAsia="Arial" w:hAnsi="Arial"/>
                <w:i/>
                <w:iCs/>
                <w:color w:val="595959"/>
                <w:sz w:val="16"/>
                <w:szCs w:val="16"/>
              </w:rPr>
              <w:t xml:space="preserve">AML/CFT escalation tightly linked to the war.</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Domestic terror-financing surface confirmed live; FATF and CBK posture hardens.</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AML transaction-monitoring thresholds reviewed for Kuwait-based accounts with international religious fund flows; enhanced due diligence on respondent banks.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#33 (12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13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Islamabad talks collapse. Trump orders US naval blockade of Iranian ports, effective 17:00 UTC+3. IRGC declares blockade-enforcing vessels will be "dealt with severely". UK and France decline to participate. Brent crosses $100 again.</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Diplomatic / Hormuz</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Sharpest qualitative escalation since 28 Feb.</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Highest-risk 24–72 hour window of the conflict to date; ceasefire essentially aborted by Iran's framing.</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Phase-2 BCP protocols activated; SOC moved to 24×7 watch; cyber-team treats blockade as connectivity-restoration trigger and accelerates IOC ingestion.</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#34 (13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14–16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Microsoft April Patch Tuesday (14 Apr) adds CVE-2026-32201 SharePoint stored XSS as actively exploited zero-day. CISA adds Fortinet CVE-2026-21643 (pre-auth SQLi RCE) with same-day deadline 16 Apr. US expands blockade scope globally on 16 Apr — oil, metals, electronics designated contraband; right to visit and search any vessel.</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Cyber-FS / Sanctions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Dual-blockade trade regime + active enterprise zero-day stack.</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GCC trade-finance exposure becomes unprecedented; FIs running SharePoint or FortiClient EMS face emergency change-management cycles.</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Emergency patch cycles for SharePoint and FortiClient EMS; trade-finance and L/C books reviewed against expanded contraband list; force-majeure clauses re-examined.</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#36 (15 Apr), #37 (16 Apr), #38 (17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17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 Cabinet reaffirms positive-neutrality posture: Kuwait is not party to any regional or international conflict and will not permit its territory to be used for attacks. Iran begins partial internet restoration after a 47-day blackout (longest nationwide shutdown on record).</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Diplomatic / Cyber-FS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High</w:t>
            </w:r>
          </w:p>
          <w:p>
            <w:pPr>
              <w:spacing w:after="0" w:before="0" w:line="240"/>
            </w:pPr>
            <w:r>
              <w:rPr>
                <w:rFonts w:ascii="Arial" w:cs="Arial" w:eastAsia="Arial" w:hAnsi="Arial"/>
                <w:i/>
                <w:iCs/>
                <w:color w:val="595959"/>
                <w:sz w:val="16"/>
                <w:szCs w:val="16"/>
              </w:rPr>
              <w:t xml:space="preserve">Internet restoration is the leading indicator of Iranian APT C2 reactivation.</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Iranian APT pre-positioned implants in Gulf FI environments at peak readiness to activate.</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Cyber posture upgraded for connectivity-restoration trigger; NetBlocks/Shadowserver monitoring formally added to SOC dashboards; MuddyWater/APT34 IOCs deployed.</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#38 (17 Apr), #40 (19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18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IRGC gunboats open fire on Indian-flagged VLCC Sanmar Herald and at least one other vessel without prior radio warning. Iran formally re-closes Hormuz less than 24 hours after declaring it "completely open".</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Hormuz / Oil</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First live-fire attack on commercial shipping in the strait during the ceasefire.</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India summons Iranian ambassador; commercial shipping caution returns to crisis level.</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Re-stress trade finance and energy-linked credit against another Hormuz closure cycle; Kuwait-flagged hulls re-flagged in advisories.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#40 (19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19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USS Spruance seizes the ~900-ft Iranian-flagged cargo ship MV Touska in the Gulf of Oman after the crew refuses to halt. First armed seizure under the US blockade. Iran's joint military command calls it "armed piracy" and vows retaliation.</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Hormuz / Diplomatic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First confirmed armed boarding under the US blockade.</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Iran sets a retaliation clock with no fixed expiry; Gulf maritime risk maximum.</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Maritime BCP escalated to highest level; all Gulf branches, payment nodes and data centres at heightened readiness.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#41 (20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20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 City PM2.5 AQI hits 286 (Very Unhealthy) — the highest reading of the conflict. MetDept forecast indicates dust and wind conditions persist through 22 April.</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Kuwait-Domestic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High</w:t>
            </w:r>
          </w:p>
          <w:p>
            <w:pPr>
              <w:spacing w:after="0" w:before="0" w:line="240"/>
            </w:pPr>
            <w:r>
              <w:rPr>
                <w:rFonts w:ascii="Arial" w:cs="Arial" w:eastAsia="Arial" w:hAnsi="Arial"/>
                <w:i/>
                <w:iCs/>
                <w:color w:val="595959"/>
                <w:sz w:val="16"/>
                <w:szCs w:val="16"/>
              </w:rPr>
              <w:t xml:space="preserve">Entire population at risk; outdoor-duty staff impacted.</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Air-quality emergency protocol triggers for staff safety and operational continuity.</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Non-essential outdoor staff movement restricted; respiratory-vulnerable staff to remote; HVAC filtration reviewed at all Kuwait offices.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#41 (20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22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IRGC seizes Italian-owned, Panamanian-flagged container ship MSC Francesca and Liberian-flagged MV Epaminondas within hours of Trump's announcement of an indefinite ceasefire extension. 22 confirmed attacks on merchant vessels since 28 Feb. Brent re-crosses $100.</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Hormuz / Oil</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Iran demonstrates rapid retaliation capability despite a nominal ceasefire.</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Ceasefire is now purely nominal for maritime traffic; Hormuz re-closure cements.</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Trade-finance and energy stress models updated for $110+ Brent; ensure no single-consignment dependencies on sea freight through the Gulf.</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#44 (23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23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KWI airspace reopens. Public Authority of Civil Aviation announces phased commercial flights from Terminals T4 and T5 beginning Sunday 26 April. USS George H.W. Bush arrives in CENTCOM AOR — third simultaneous carrier strike group in theatre (first such concentration since the Iraq/Afghanistan era).</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Kuwait-Domestic (positive) / Diplomatic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High</w:t>
            </w:r>
          </w:p>
          <w:p>
            <w:pPr>
              <w:spacing w:after="0" w:before="0" w:line="240"/>
            </w:pPr>
            <w:r>
              <w:rPr>
                <w:rFonts w:ascii="Arial" w:cs="Arial" w:eastAsia="Arial" w:hAnsi="Arial"/>
                <w:i/>
                <w:iCs/>
                <w:color w:val="595959"/>
                <w:sz w:val="16"/>
                <w:szCs w:val="16"/>
              </w:rPr>
              <w:t xml:space="preserve">First concrete aviation normalisation step after 8 weeks.</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Limited business-travel option restored, but three-carrier US posture also signals further escalation capability.</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HR and BCP teams resume repatriation/deployment planning; insurance cover for conflict-zone travel re-verified; SOC treats USS Bush arrival as an APT-activation trigger.</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#45 (24 Apr), #46 (25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24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FINRA Cybersecurity Alert issued — Heightened Threats from Iranian Cyber Actors specifically against US and allied financial institutions. Maritime restrictions in Kuwait eased: daytime coastal boating permitted from 24 April.</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Cyber-FS / Kuwait-Domestic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High</w:t>
            </w:r>
          </w:p>
          <w:p>
            <w:pPr>
              <w:spacing w:after="0" w:before="0" w:line="240"/>
            </w:pPr>
            <w:r>
              <w:rPr>
                <w:rFonts w:ascii="Arial" w:cs="Arial" w:eastAsia="Arial" w:hAnsi="Arial"/>
                <w:i/>
                <w:iCs/>
                <w:color w:val="595959"/>
                <w:sz w:val="16"/>
                <w:szCs w:val="16"/>
              </w:rPr>
              <w:t xml:space="preserve">Sector regulator escalates to a dedicated alert.</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Compliance attestations to FINRA-grade controls become a board-level deliverable for Kuwait FIs with US correspondents.</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MFA enforcement re-confirmed; privileged-access controls reviewed; SOC playbook aligned to FINRA alert TTPs (spear-phishing, credential theft, DDoS).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#45 (24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25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Two fibre-optic-cable-guided explosive drones, originating from Iraq, strike two of Kuwait's northern land border posts. First confirmed attack on Kuwait from a non-Iranian vector. Islamabad talks collapse a second time; Iran's FM Araghchi leaves after ~20 hours of talks.</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Kinetic-Kuwait / Diplomatic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New threat vector to Kuwait independent of the ceasefire.</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Northern threat surface (Iraq, Iran-aligned militia networks) becomes a permanent BCP consideration; sole reliable supply route (Nuwaisib) is the same border zone now under direct kinetic threat.</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Northern-Kuwait staff and asset perimeter reviewed; supplier and logistics counterparty exposure to Iraqi-origin goods and services reassessed; Nuwaisib closure scenario added to BCP triggers.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#46 (25 Apr), #47 (26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26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KWI partial reopening confirmed. Terminals T4 (Kuwait Airways, 17 destinations) and T5 (Jazeera Airways, 9 routes) resume operations 09:00–16:00 local. Social events in government-affiliated halls partially resume.</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Kuwait-Domestic (positive)</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High</w:t>
            </w:r>
          </w:p>
          <w:p>
            <w:pPr>
              <w:spacing w:after="0" w:before="0" w:line="240"/>
            </w:pPr>
            <w:r>
              <w:rPr>
                <w:rFonts w:ascii="Arial" w:cs="Arial" w:eastAsia="Arial" w:hAnsi="Arial"/>
                <w:i/>
                <w:iCs/>
                <w:color w:val="595959"/>
                <w:sz w:val="16"/>
                <w:szCs w:val="16"/>
              </w:rPr>
              <w:t xml:space="preserve">First substantive normalisation of staff travel since 28 Feb.</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Limited business-travel window opens; staff repatriation via Dammam can wind down.</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Travel policy updated to reflect KWI partial availability and 09:00–16:00 operating window; rapid-reclosure trigger retained in BCM plans.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#47 (26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28 Apr – 1 May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UAE announces withdrawal from OPEC and OPEC+ effective 1 May 2026 — ending nearly 60 years of membership. War Powers Act 60-day deadline lapses on 1 May; Senate rejects fifth war-powers resolution. Brent hits wartime high $126.10 on 30 April after Trump rejects Iran's Hormuz-for-nuclear-delay proposal. Kuwait condemns submarine internet cable attacks at the ITU in Geneva.</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Sanctions / Regulatory / Diplomatic / Hormuz</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Structural shift in GCC energy governance and US war-authorisation posture.</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Post-conflict oil pricing models need a UAE-unconstrained variant. Brent peak triggers KWD/USD peg stress test. Submarine-cable risk added to digital-infrastructure threat register.</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Treasury KWD/USD peg stress test executed at $115+ Brent; SWF allocation cuts monitored; submarine-cable diversity verified for SWIFT, cloud and cross-border payments; "3–4 month blockade survival" scenario adopted as baseline (per CIA assessment).</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#49 (28 Apr) → #52 (1 May)</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30 Apr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GCC "Decisiveness Summit" in Jeddah concludes: "Our Security is a Red Line; any attack on one is an attack on all." Leaders agree to accelerate the GCC joint early-warning missile system and reject Iran's Hormuz blockade and toll-collection designation.</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Diplomatic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High</w:t>
            </w:r>
          </w:p>
          <w:p>
            <w:pPr>
              <w:spacing w:after="0" w:before="0" w:line="240"/>
            </w:pPr>
            <w:r>
              <w:rPr>
                <w:rFonts w:ascii="Arial" w:cs="Arial" w:eastAsia="Arial" w:hAnsi="Arial"/>
                <w:i/>
                <w:iCs/>
                <w:color w:val="595959"/>
                <w:sz w:val="16"/>
                <w:szCs w:val="16"/>
              </w:rPr>
              <w:t xml:space="preserve">Formal collective-defence posture for the GCC.</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 gains diplomatic cover from a GCC-wide collective-defence declaration.</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Inferred: review of correspondent relationships with GCC sovereign-linked entities; alignment of crisis communications with GCC-level posture.</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Medium</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#51 (30 Apr)</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3 May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Trump declares to Congress that the hostilities "have terminated" (a War Powers Act manoeuvre) while the naval blockade and Hormuz closure continue. Jazeera Airways resumes full T5 operations (27 destinations, 06:00–18:00) ending its 57-day disruption.</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Diplomatic / Kuwait-Domestic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High</w:t>
            </w:r>
          </w:p>
          <w:p>
            <w:pPr>
              <w:spacing w:after="0" w:before="0" w:line="240"/>
            </w:pPr>
            <w:r>
              <w:rPr>
                <w:rFonts w:ascii="Arial" w:cs="Arial" w:eastAsia="Arial" w:hAnsi="Arial"/>
                <w:i/>
                <w:iCs/>
                <w:color w:val="595959"/>
                <w:sz w:val="16"/>
                <w:szCs w:val="16"/>
              </w:rPr>
              <w:t xml:space="preserve">Legal ambiguity, not peace; meaningful travel-capacity restoration.</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Internal war-risk policies and insurance triggers need legal review against the "terminated" declaration.</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Legal/compliance review of internal war-risk policy triggers; update BCP travel matrix to include T4 (29 routes) and T5 (27 routes); maintain rapid-reclosure protocol.</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#54 (3 May)</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4–5 May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Project Freedom launches. ADNOC tanker Barakah struck by two Iranian drones during Hormuz transit (unladen, no casualties). UAE absorbs largest single-day attack since the 8 April ceasefire: 12 ballistic missiles, 3 cruise missiles, 4 drones; Fujairah Petroleum Industries Zone hit. Kuwait confirms first zero crude-export month since 1991 (April 2026). Brent surges to $115.</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Kinetic-GCC / Hormuz / Oil</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Largest Iranian salvo on a GCC state since the ceasefire; Kuwait's revenue floor at zero.</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 sovereign-revenue model formally tested at zero crude exports; new escalation vector against GCC-flagged commercial shipping.</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Sovereign/KPC liquidity-buffer scenario re-validated; insurer outreach on ADNOC-style strike precedents; warden rosters and overland-route protocols re-verified; SOC pre-positions for APT34 post-kinetic 1–2 week lag.</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#55 (4 May), #56 (5 May)</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6 May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Rapid7 / Hacker News advisory: MuddyWater (Seedworm / IRGC-MOIS) actively using Microsoft Teams social-engineering chats to harvest M365 credentials, install AnyDesk for persistence, and deploy Chaos ransomware as a false flag over espionage. Kuwait Ministry of Commerce Decision No. 25 of 2026 — AML/CFT penalty matrix for non-financial businesses — comes into effect.</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Cyber-FS / Sanctions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Live, named playbook against M365 tenants; AML regulator hardening on FATF Increased Monitoring list.</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External Teams federation becomes a board-level cyber risk; AML penalty regime tightens within FATF window.</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External Teams federation audited and restricted; phishing-resistant FIDO2 MFA enforced on privileged accounts; SOC/helpdesk briefed on Teams social-engineering TTP; AML-monitoring framework reviewed against Decision No. 25.</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#57 (6 May), #58 (7 May)</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7–8 May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US Navy intercepts Iranian attacks on three US vessels in Hormuz (night of 7 May); US retaliates against Iranian military facilities. UAE under fresh attack 8 May morning — 3 wounded. Iran's formal MOU response remains absent past Rubio's stated deadline.</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Hormuz / Diplomatic / Kinetic-GCC</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Direct US–Iran kinetic exchange while diplomacy nominally continues.</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Ceasefire "holds by a thread"; market and operational risk regimes oscillate inside the same week.</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Maintain crisis-level BCP; daily SOC briefings escalated to executive risk committee; treasury intraday margin and FX-volatility limits tightened.</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#58 (7 May), #59 (8 May)</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8 May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Kharg Island oil spill (~45–71 sq km, ~80,000 bbl equivalent) confirmed via Copernicus Sentinel-1/2/3 satellite imagery. Cause unconfirmed; Iran denies.</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Hormuz / Oil (insurance)</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High</w:t>
            </w:r>
          </w:p>
          <w:p>
            <w:pPr>
              <w:spacing w:after="0" w:before="0" w:line="240"/>
            </w:pPr>
            <w:r>
              <w:rPr>
                <w:rFonts w:ascii="Arial" w:cs="Arial" w:eastAsia="Arial" w:hAnsi="Arial"/>
                <w:i/>
                <w:iCs/>
                <w:color w:val="595959"/>
                <w:sz w:val="16"/>
                <w:szCs w:val="16"/>
              </w:rPr>
              <w:t xml:space="preserve">Potentially largest spill of the war; P&amp;I and environmental-liability exposure unresolved.</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If attributable to a tanker, P&amp;I environmental-liability policies trigger; broader Gulf cargo underwriting affected either way.</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P&amp;I and environmental-liability cover reviewed for any Kuwait-flagged or Kuwait-bound tonnage; trade-finance facilities collateralised against Gulf cargo policies re-priced.</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Medium</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#60 (9 May)</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9 May 2026</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US State Department and US Treasury sanction 4 firms (3 China-based) for satellite imagery enabling Iranian strikes, plus 10 individuals/companies. Action falls three days before scheduled Trump–Xi Beijing summit. US Treasury parallel sanctions on three Iran-aligned Iraqi militia leaders and Iraq's Deputy Oil Minister.</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Sanctions / Regulatory</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Iran war becomes leverage in the US–China relationship.</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Secondary compliance exposure for Kuwait FIs with Chinese correspondent banks or trade-finance in energy/commodities; Iraq-corridor militia risk to Kuwait's northern logistics rises.</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OFAC compliance posture re-checked for 9 May tranche; counterparty review for Chinese-owned entities in Kuwait/GCC; supplier and logistics counterparty exposure to Iraqi-origin goods re-examined.</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High</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#60 (9 May), #61 (10 May)</w:t>
            </w:r>
          </w:p>
        </w:tc>
      </w:tr>
      <w:tr>
        <w:trPr>
          <w:cantSplit w:val="false"/>
        </w:trP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10 May 2026 (window opens 11 May)</w:t>
            </w:r>
          </w:p>
        </w:tc>
        <w:tc>
          <w:tcPr>
            <w:tcW w:type="dxa" w:w="55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APT34 (OilRig) Dark Scepter pre-attack staging window opens 11 May per Unit 42 / Hunt.io: peak targeting risk for GCC financial / energy sector runs ~11–19 May based on C2 infrastructure expansion and the standard 1–2 week lag from kinetic escalation (4–5 May UAE strikes).</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Cyber-FS</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40" w:before="0" w:line="260"/>
            </w:pPr>
            <w:r>
              <w:rPr>
                <w:rFonts w:ascii="Arial" w:cs="Arial" w:eastAsia="Arial" w:hAnsi="Arial"/>
                <w:b/>
                <w:bCs/>
                <w:sz w:val="18"/>
                <w:szCs w:val="18"/>
              </w:rPr>
              <w:t xml:space="preserve">Critical</w:t>
            </w:r>
          </w:p>
          <w:p>
            <w:pPr>
              <w:spacing w:after="0" w:before="0" w:line="240"/>
            </w:pPr>
            <w:r>
              <w:rPr>
                <w:rFonts w:ascii="Arial" w:cs="Arial" w:eastAsia="Arial" w:hAnsi="Arial"/>
                <w:i/>
                <w:iCs/>
                <w:color w:val="595959"/>
                <w:sz w:val="16"/>
                <w:szCs w:val="16"/>
              </w:rPr>
              <w:t xml:space="preserve">Zero-tolerance remediation deadline against a state-grade APT.</w:t>
            </w:r>
          </w:p>
        </w:tc>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Kuwait FIs treat the 11–19 May window as the highest cyber-risk period of the conflict to date.</w:t>
            </w:r>
          </w:p>
        </w:tc>
        <w:tc>
          <w:tcPr>
            <w:tcW w:type="dxa" w:w="39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MuddyWater IOCs ingested into SIEM/EDR; M365 external Teams federation audited and restricted; FIDO2 MFA enforced on all privileged accounts before Sunday close of business; SOC posture escalated for the 11–19 May window.</w:t>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Medium</w:t>
            </w:r>
          </w:p>
        </w:tc>
        <w:tc>
          <w:tcPr>
            <w:tcW w:type="dxa" w:w="10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18"/>
                <w:szCs w:val="18"/>
              </w:rPr>
              <w:t xml:space="preserve">#61 (10 May)</w:t>
            </w:r>
          </w:p>
        </w:tc>
      </w:tr>
    </w:tbl>
    <w:p>
      <w:pPr>
        <w:pStyle w:val="Heading1"/>
        <w:spacing w:after="200" w:before="320"/>
      </w:pPr>
      <w:r>
        <w:rPr>
          <w:rFonts w:ascii="Arial" w:cs="Arial" w:eastAsia="Arial" w:hAnsi="Arial"/>
          <w:b/>
          <w:bCs/>
          <w:sz w:val="32"/>
          <w:szCs w:val="32"/>
        </w:rPr>
        <w:t xml:space="preserve">Escalation curve summary</w:t>
      </w:r>
    </w:p>
    <w:p>
      <w:pPr>
        <w:spacing w:after="80" w:before="80" w:line="300"/>
        <w:jc w:val="left"/>
      </w:pPr>
      <w:r>
        <w:rPr>
          <w:rFonts w:ascii="Arial" w:cs="Arial" w:eastAsia="Arial" w:hAnsi="Arial"/>
          <w:b w:val="false"/>
          <w:bCs w:val="false"/>
          <w:i w:val="false"/>
          <w:iCs w:val="false"/>
          <w:sz w:val="22"/>
          <w:szCs w:val="22"/>
        </w:rPr>
        <w:t xml:space="preserve">Opening kinetic phase (28 February – 11 March 2026): Operation Epic Fury opens with the killing of Iran's Supreme Leader; Iran retaliates against all six GCC states simultaneously. KWI airport closes on 28 February; Lloyd's JWC adds Kuwait to the Hull War Listed Areas (effective 3 March); Kuwait declares force majeure on oil and gas exports on 7 March. Banks invoke remote operations within 72 hours.</w:t>
      </w:r>
    </w:p>
    <w:p>
      <w:pPr>
        <w:spacing w:after="80" w:before="80" w:line="300"/>
        <w:jc w:val="left"/>
      </w:pPr>
      <w:r>
        <w:rPr>
          <w:rFonts w:ascii="Arial" w:cs="Arial" w:eastAsia="Arial" w:hAnsi="Arial"/>
          <w:b w:val="false"/>
          <w:bCs w:val="false"/>
          <w:i w:val="false"/>
          <w:iCs w:val="false"/>
          <w:sz w:val="22"/>
          <w:szCs w:val="22"/>
        </w:rPr>
        <w:t xml:space="preserve">Hormuz closure and oil-export halt (8 March – 27 March 2026): repeated strikes on Mina al-Ahmadi refinery and KWI fuel infrastructure; Iran's "Tehran Toll Booth" formalises Hormuz fees up to $2M per transit on 26 March; Shuwaikh Port is hit on 27 March; Brent trades between $107 and an intraday $126. Kuwait crude exports drop towards zero; sovereign wealth and FX reserves take the fiscal weight.</w:t>
      </w:r>
    </w:p>
    <w:p>
      <w:pPr>
        <w:spacing w:after="80" w:before="80" w:line="300"/>
        <w:jc w:val="left"/>
      </w:pPr>
      <w:r>
        <w:rPr>
          <w:rFonts w:ascii="Arial" w:cs="Arial" w:eastAsia="Arial" w:hAnsi="Arial"/>
          <w:b w:val="false"/>
          <w:bCs w:val="false"/>
          <w:i w:val="false"/>
          <w:iCs w:val="false"/>
          <w:sz w:val="22"/>
          <w:szCs w:val="22"/>
        </w:rPr>
        <w:t xml:space="preserve">Cyber escalation against GCC financial services (1 April onwards): the IRGC names J.P. Morgan Chase among 18 US tech firms as legitimate targets on 1 April. CISA AA26-097A is published on 7 April. FINRA issues a sector-specific alert on 24 April. By 8–10 May the MuddyWater Teams playbook is named and the APT34 peak attack window opens. Iranian-aligned hacktivist activity exceeds 144 verified financial-services incidents.</w:t>
      </w:r>
    </w:p>
    <w:p>
      <w:pPr>
        <w:spacing w:after="80" w:before="80" w:line="300"/>
        <w:jc w:val="left"/>
      </w:pPr>
      <w:r>
        <w:rPr>
          <w:rFonts w:ascii="Arial" w:cs="Arial" w:eastAsia="Arial" w:hAnsi="Arial"/>
          <w:b w:val="false"/>
          <w:bCs w:val="false"/>
          <w:i w:val="false"/>
          <w:iCs w:val="false"/>
          <w:sz w:val="22"/>
          <w:szCs w:val="22"/>
        </w:rPr>
        <w:t xml:space="preserve">Diplomatic ceasefire and adversarial pause (8 April – 3 May 2026): two-week ceasefire is announced on 8 April with Brent crashing $14; Islamabad talks collapse on 13 April; Trump orders a US naval blockade of Iranian ports the same day. Iran seizes commercial vessels on 18, 19 and 22 April. The UAE announces OPEC withdrawal effective 1 May. Brent hits a wartime high of $126.10 on 30 April. Kuwait Cabinet reaffirms positive neutrality on 17 April. KWI partial reopening from 26 April.</w:t>
      </w:r>
    </w:p>
    <w:p>
      <w:pPr>
        <w:spacing w:after="80" w:before="80" w:line="300"/>
        <w:jc w:val="left"/>
      </w:pPr>
      <w:r>
        <w:rPr>
          <w:rFonts w:ascii="Arial" w:cs="Arial" w:eastAsia="Arial" w:hAnsi="Arial"/>
          <w:b w:val="false"/>
          <w:bCs w:val="false"/>
          <w:i w:val="false"/>
          <w:iCs w:val="false"/>
          <w:sz w:val="22"/>
          <w:szCs w:val="22"/>
        </w:rPr>
        <w:t xml:space="preserve">Project Freedom and renewed kinetic exchanges (4 May – 10 May 2026): US escorted convoys begin in Hormuz on 4 May; Iran strikes an ADNOC tanker the same day and launches its largest GCC salvo since the ceasefire (12 ballistic missiles, 3 cruise missiles, 4 drones at the UAE). US disables two Iranian tankers on 8 May. Kuwait confirms its first zero crude-export month since 1991. Iran's formal response to the US 14-point MOU remains absent through 10 May; the APT34 peak attack window opens 11 May.</w:t>
      </w:r>
    </w:p>
    <w:p>
      <w:pPr>
        <w:pStyle w:val="Heading1"/>
        <w:spacing w:after="200" w:before="320"/>
      </w:pPr>
      <w:r>
        <w:rPr>
          <w:rFonts w:ascii="Arial" w:cs="Arial" w:eastAsia="Arial" w:hAnsi="Arial"/>
          <w:b/>
          <w:bCs/>
          <w:sz w:val="32"/>
          <w:szCs w:val="32"/>
        </w:rPr>
        <w:t xml:space="preserve">Standing BCP measures in force as of 10 May 2026</w:t>
      </w:r>
    </w:p>
    <w:p>
      <w:pPr>
        <w:spacing w:after="80" w:before="80" w:line="300"/>
        <w:jc w:val="left"/>
      </w:pPr>
      <w:r>
        <w:rPr>
          <w:rFonts w:ascii="Arial" w:cs="Arial" w:eastAsia="Arial" w:hAnsi="Arial"/>
          <w:b w:val="false"/>
          <w:bCs w:val="false"/>
          <w:i/>
          <w:iCs/>
          <w:color w:val="595959"/>
          <w:sz w:val="20"/>
          <w:szCs w:val="20"/>
        </w:rPr>
        <w:t xml:space="preserve">Each row groups the live measures by domain and indicates the incident date that triggered them so the chain of cause and control is visible.</w:t>
      </w:r>
    </w:p>
    <w:tbl>
      <w:tblPr>
        <w:tblW w:type="dxa" w:w="19814"/>
        <w:tblBorders>
          <w:top w:val="single" w:color="auto" w:sz="4"/>
          <w:left w:val="single" w:color="auto" w:sz="4"/>
          <w:bottom w:val="single" w:color="auto" w:sz="4"/>
          <w:right w:val="single" w:color="auto" w:sz="4"/>
          <w:insideH w:val="single" w:color="auto" w:sz="4"/>
          <w:insideV w:val="single" w:color="auto" w:sz="4"/>
        </w:tblBorders>
      </w:tblPr>
      <w:tblGrid>
        <w:gridCol w:w="3500"/>
        <w:gridCol w:w="16314"/>
      </w:tblGrid>
      <w:tr>
        <w:tc>
          <w:tcPr>
            <w:tcW w:type="dxa" w:w="35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pPr>
              <w:spacing w:after="0" w:before="0" w:line="260"/>
            </w:pPr>
            <w:r>
              <w:rPr>
                <w:rFonts w:ascii="Arial" w:cs="Arial" w:eastAsia="Arial" w:hAnsi="Arial"/>
                <w:b/>
                <w:bCs/>
                <w:sz w:val="20"/>
                <w:szCs w:val="20"/>
              </w:rPr>
              <w:t xml:space="preserve">Airport &amp; travel</w:t>
            </w:r>
          </w:p>
        </w:tc>
        <w:tc>
          <w:tcPr>
            <w:tcW w:type="dxa" w:w="163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20"/>
                <w:szCs w:val="20"/>
              </w:rPr>
              <w:t xml:space="preserve">KWI airport partial — T4 (Kuwait Airways, ~29 international destinations, 09:00–16:00) and T5 (Jazeera Airways, 27 destinations, 06:00–18:00) operational; T1 closed for drone-strike repairs since 8 March; Emirates two-then-five-daily DXB–KWI rotations from 1 May. Triggered by KWI closure on 28 February and the partial reopening of 23–26 April.</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pPr>
              <w:spacing w:after="0" w:before="0" w:line="260"/>
            </w:pPr>
            <w:r>
              <w:rPr>
                <w:rFonts w:ascii="Arial" w:cs="Arial" w:eastAsia="Arial" w:hAnsi="Arial"/>
                <w:b/>
                <w:bCs/>
                <w:sz w:val="20"/>
                <w:szCs w:val="20"/>
              </w:rPr>
              <w:t xml:space="preserve">Maritime &amp; oil exports</w:t>
            </w:r>
          </w:p>
        </w:tc>
        <w:tc>
          <w:tcPr>
            <w:tcW w:type="dxa" w:w="163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20"/>
                <w:szCs w:val="20"/>
              </w:rPr>
              <w:t xml:space="preserve">Kuwait Petroleum Corporation force majeure on oil and gas exports remains in force from 7 March. April 2026 was the first zero crude-export month since 1991 (confirmed 5 May). Strait of Hormuz remains structurally closed under a dual US/Iran blockade in force since 13 April; Iranian gunboat live-fire and seizures on 18, 19 and 22 April keep the AWRP regime at ~1% of H&amp;M value. Daytime fishing and leisure boating permitted from 10 May.</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pPr>
              <w:spacing w:after="0" w:before="0" w:line="260"/>
            </w:pPr>
            <w:r>
              <w:rPr>
                <w:rFonts w:ascii="Arial" w:cs="Arial" w:eastAsia="Arial" w:hAnsi="Arial"/>
                <w:b/>
                <w:bCs/>
                <w:sz w:val="20"/>
                <w:szCs w:val="20"/>
              </w:rPr>
              <w:t xml:space="preserve">Land borders &amp; supply chain</w:t>
            </w:r>
          </w:p>
        </w:tc>
        <w:tc>
          <w:tcPr>
            <w:tcW w:type="dxa" w:w="163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20"/>
                <w:szCs w:val="20"/>
              </w:rPr>
              <w:t xml:space="preserve">Saudi land bridge (Nuwaisib / Salmi / Abdali) is the sole reliable supply artery; food and medicine prioritised; 1–2 day customs delays; food prices up 30%+. Iraq border effectively closed and on elevated alert after the 25 April northern drone attack. Emergency import surcharges 50–60% above pre-conflict baseline; Ministry of Commerce price caps on essential goods.</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pPr>
              <w:spacing w:after="0" w:before="0" w:line="260"/>
            </w:pPr>
            <w:r>
              <w:rPr>
                <w:rFonts w:ascii="Arial" w:cs="Arial" w:eastAsia="Arial" w:hAnsi="Arial"/>
                <w:b/>
                <w:bCs/>
                <w:sz w:val="20"/>
                <w:szCs w:val="20"/>
              </w:rPr>
              <w:t xml:space="preserve">Cyber posture</w:t>
            </w:r>
          </w:p>
        </w:tc>
        <w:tc>
          <w:tcPr>
            <w:tcW w:type="dxa" w:w="163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20"/>
                <w:szCs w:val="20"/>
              </w:rPr>
              <w:t xml:space="preserve">Twenty-four-hour SOC watch since 13 April US naval blockade. CISA AA26-097A (7 April) PLC/OT advisory active. MuddyWater Teams credential-harvesting playbook (Rapid7, 6 May) under emergency remediation. APT34 Dark Scepter peak attack window 11–19 May 2026 declared zero-tolerance: MuddyWater IOCs into SIEM/EDR, M365 external Teams federation audited and restricted, FIDO2 MFA enforced on all privileged accounts before close of business Sunday 10 May. CISA/NCSC-UK AA26-113a joint advisory on Chinese state-linked botnet activity probing GCC-region assets carried forward.</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pPr>
              <w:spacing w:after="0" w:before="0" w:line="260"/>
            </w:pPr>
            <w:r>
              <w:rPr>
                <w:rFonts w:ascii="Arial" w:cs="Arial" w:eastAsia="Arial" w:hAnsi="Arial"/>
                <w:b/>
                <w:bCs/>
                <w:sz w:val="20"/>
                <w:szCs w:val="20"/>
              </w:rPr>
              <w:t xml:space="preserve">Sanctions &amp; AML</w:t>
            </w:r>
          </w:p>
        </w:tc>
        <w:tc>
          <w:tcPr>
            <w:tcW w:type="dxa" w:w="163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20"/>
                <w:szCs w:val="20"/>
              </w:rPr>
              <w:t xml:space="preserve">Kuwait remains on the FATF Jurisdictions under Increased Monitoring list since 13 February 2026. Ministry of Commerce and Industry Decision No. 25 of 2026 (AML/CFT penalty matrix for non-financial businesses) in force from 6 May. Ministerial Resolution 31/2026 banning drone sales and trading in force from 3 April. OFAC tranches of 9 April (Iran), 30 April (Chinese chemical companies) and 9 May (4 firms / 10 individuals incl. China-based) require correspondent-banking and trade-finance compliance reviews.</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pPr>
              <w:spacing w:after="0" w:before="0" w:line="260"/>
            </w:pPr>
            <w:r>
              <w:rPr>
                <w:rFonts w:ascii="Arial" w:cs="Arial" w:eastAsia="Arial" w:hAnsi="Arial"/>
                <w:b/>
                <w:bCs/>
                <w:sz w:val="20"/>
                <w:szCs w:val="20"/>
              </w:rPr>
              <w:t xml:space="preserve">Insurance &amp; AWRP</w:t>
            </w:r>
          </w:p>
        </w:tc>
        <w:tc>
          <w:tcPr>
            <w:tcW w:type="dxa" w:w="163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20"/>
                <w:szCs w:val="20"/>
              </w:rPr>
              <w:t xml:space="preserve">Lloyd's JWC JWLA-033 (effective 3 March) keeps Kuwait, Bahrain, Oman and Qatar on the Hull War Listed Areas. AWRP at ~1% of H&amp;M value per voyage (7–8× pre-war). Voyage-by-voyage individual negotiation continues. Kharg Island oil spill (~80,000 bbl equivalent, confirmed 8 May) creates unresolved P&amp;I and environmental-liability exposure across Gulf cargo policies.</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00"/>
              <w:bottom w:type="dxa" w:w="80"/>
              <w:right w:type="dxa" w:w="100"/>
            </w:tcMar>
          </w:tcPr>
          <w:p>
            <w:pPr>
              <w:spacing w:after="0" w:before="0" w:line="260"/>
            </w:pPr>
            <w:r>
              <w:rPr>
                <w:rFonts w:ascii="Arial" w:cs="Arial" w:eastAsia="Arial" w:hAnsi="Arial"/>
                <w:b/>
                <w:bCs/>
                <w:sz w:val="20"/>
                <w:szCs w:val="20"/>
              </w:rPr>
              <w:t xml:space="preserve">Liquidity &amp; FX</w:t>
            </w:r>
          </w:p>
        </w:tc>
        <w:tc>
          <w:tcPr>
            <w:tcW w:type="dxa" w:w="16314"/>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line="260"/>
            </w:pPr>
            <w:r>
              <w:rPr>
                <w:rFonts w:ascii="Arial" w:cs="Arial" w:eastAsia="Arial" w:hAnsi="Arial"/>
                <w:b w:val="false"/>
                <w:bCs w:val="false"/>
                <w:sz w:val="20"/>
                <w:szCs w:val="20"/>
              </w:rPr>
              <w:t xml:space="preserve">Hormuz-closure BCP and liquidity buffers extended through at least end-Q3 2026 per CIA 3–4 month blockade-survival assessment and the absent Iranian MOU response. KWD/USD peg stress monitoring tripwire at $115 Brent; Brent hit a wartime high of $126.10 on 30 April. KPC and Ministry of Finance counterparty exposure under continuous review against the KD 9.8 billion FY2026-27 projected deficit. GCC sovereign-wealth allocations rotating to domestic recovery (Saudi PIF cut international allocation from 30% to 20%).</w:t>
            </w:r>
          </w:p>
        </w:tc>
      </w:tr>
    </w:tbl>
    <w:p>
      <w:pPr>
        <w:pStyle w:val="Heading1"/>
        <w:spacing w:after="200" w:before="320"/>
      </w:pPr>
      <w:r>
        <w:rPr>
          <w:rFonts w:ascii="Arial" w:cs="Arial" w:eastAsia="Arial" w:hAnsi="Arial"/>
          <w:b/>
          <w:bCs/>
          <w:sz w:val="32"/>
          <w:szCs w:val="32"/>
        </w:rPr>
        <w:t xml:space="preserve">Watch items to flag to senior management</w:t>
      </w:r>
    </w:p>
    <w:p>
      <w:pPr>
        <w:spacing w:after="80" w:before="80" w:line="300"/>
        <w:jc w:val="left"/>
      </w:pPr>
      <w:r>
        <w:rPr>
          <w:rFonts w:ascii="Arial" w:cs="Arial" w:eastAsia="Arial" w:hAnsi="Arial"/>
          <w:b w:val="false"/>
          <w:bCs w:val="false"/>
          <w:i w:val="false"/>
          <w:iCs w:val="false"/>
          <w:sz w:val="22"/>
          <w:szCs w:val="22"/>
        </w:rPr>
        <w:t xml:space="preserve">Iran's formal MOU response is still overdue as of 10 May. Any acceptance, rejection or counter-proposal sets oil-market direction and hacktivist cyber activity for the coming week; continued silence past Monday US business hours may trigger a Project Freedom resumption announcement.</w:t>
      </w:r>
    </w:p>
    <w:p>
      <w:pPr>
        <w:spacing w:after="80" w:before="80" w:line="300"/>
        <w:jc w:val="left"/>
      </w:pPr>
      <w:r>
        <w:rPr>
          <w:rFonts w:ascii="Arial" w:cs="Arial" w:eastAsia="Arial" w:hAnsi="Arial"/>
          <w:b w:val="false"/>
          <w:bCs w:val="false"/>
          <w:i w:val="false"/>
          <w:iCs w:val="false"/>
          <w:sz w:val="22"/>
          <w:szCs w:val="22"/>
        </w:rPr>
        <w:t xml:space="preserve">The Qatari LNG tanker Al Kharaitiyat is sailing toward Hormuz as the first Qatari LNG transit attempt since the war began. Success would be a meaningful de-escalation signal; Iranian interdiction would mean ceasefire collapse and a sharp oil spike.</w:t>
      </w:r>
    </w:p>
    <w:p>
      <w:pPr>
        <w:spacing w:after="80" w:before="80" w:line="300"/>
        <w:jc w:val="left"/>
      </w:pPr>
      <w:r>
        <w:rPr>
          <w:rFonts w:ascii="Arial" w:cs="Arial" w:eastAsia="Arial" w:hAnsi="Arial"/>
          <w:b w:val="false"/>
          <w:bCs w:val="false"/>
          <w:i w:val="false"/>
          <w:iCs w:val="false"/>
          <w:sz w:val="22"/>
          <w:szCs w:val="22"/>
        </w:rPr>
        <w:t xml:space="preserve">The APT34 Dark Scepter peak attack window opens 11 May and runs through 19 May. All MuddyWater IOCs, Teams federation audits, and FIDO2 MFA enforcement on privileged accounts must be confirmed complete before close of business Sunday 10 May; the risk window is operationally treated as zero-tolerance.</w:t>
      </w:r>
    </w:p>
    <w:p>
      <w:pPr>
        <w:spacing w:after="80" w:before="80" w:line="300"/>
        <w:jc w:val="left"/>
      </w:pPr>
      <w:r>
        <w:rPr>
          <w:rFonts w:ascii="Arial" w:cs="Arial" w:eastAsia="Arial" w:hAnsi="Arial"/>
          <w:b w:val="false"/>
          <w:bCs w:val="false"/>
          <w:i w:val="false"/>
          <w:iCs w:val="false"/>
          <w:sz w:val="22"/>
          <w:szCs w:val="22"/>
        </w:rPr>
        <w:t xml:space="preserve">US–China tensions are rising alongside the Iran war. The 9 May sanctions on Chinese firms three days before the Trump–Xi Beijing summit create secondary compliance exposure for Kuwait FIs with Chinese correspondent banks, energy trade finance, or Chinese-owned entities in Kuwait/GCC.</w:t>
      </w:r>
    </w:p>
    <w:p>
      <w:pPr>
        <w:spacing w:after="80" w:before="80" w:line="300"/>
        <w:jc w:val="left"/>
      </w:pPr>
      <w:r>
        <w:rPr>
          <w:rFonts w:ascii="Arial" w:cs="Arial" w:eastAsia="Arial" w:hAnsi="Arial"/>
          <w:b w:val="false"/>
          <w:bCs w:val="false"/>
          <w:i w:val="false"/>
          <w:iCs w:val="false"/>
          <w:sz w:val="22"/>
          <w:szCs w:val="22"/>
        </w:rPr>
        <w:t xml:space="preserve">The Kharg Island oil spill (~80,000 bbl, confirmed by Copernicus satellite imagery 8 May) has unresolved P&amp;I and environmental-liability implications across Gulf cargo policies; Iran denies and IAEA has not corroborated. Underwriting for Gulf cargo policies should be monitored for repricing through end-Q2.</w:t>
      </w:r>
    </w:p>
    <w:p>
      <w:pPr>
        <w:spacing w:after="80" w:before="80" w:line="300"/>
        <w:jc w:val="left"/>
      </w:pPr>
      <w:r>
        <w:rPr>
          <w:rFonts w:ascii="Arial" w:cs="Arial" w:eastAsia="Arial" w:hAnsi="Arial"/>
          <w:b w:val="false"/>
          <w:bCs w:val="false"/>
          <w:i w:val="false"/>
          <w:iCs w:val="false"/>
          <w:sz w:val="22"/>
          <w:szCs w:val="22"/>
        </w:rPr>
        <w:t xml:space="preserve">The "Rainbow Site" nuclear allegation of 9 May (single source, Iran denies) — if eventually confirmed — would lengthen any Iran deal timeline and therefore the Hormuz closure horizon.</w:t>
      </w:r>
    </w:p>
    <w:p>
      <w:pPr>
        <w:pStyle w:val="Heading1"/>
        <w:spacing w:after="200" w:before="320"/>
      </w:pPr>
      <w:r>
        <w:rPr>
          <w:rFonts w:ascii="Arial" w:cs="Arial" w:eastAsia="Arial" w:hAnsi="Arial"/>
          <w:b/>
          <w:bCs/>
          <w:sz w:val="32"/>
          <w:szCs w:val="32"/>
        </w:rPr>
        <w:t xml:space="preserve">Methodology and data gaps</w:t>
      </w:r>
    </w:p>
    <w:p>
      <w:pPr>
        <w:spacing w:after="80" w:before="80" w:line="300"/>
        <w:jc w:val="left"/>
      </w:pPr>
      <w:r>
        <w:rPr>
          <w:rFonts w:ascii="Arial" w:cs="Arial" w:eastAsia="Arial" w:hAnsi="Arial"/>
          <w:b w:val="false"/>
          <w:bCs w:val="false"/>
          <w:i w:val="false"/>
          <w:iCs w:val="false"/>
          <w:sz w:val="22"/>
          <w:szCs w:val="22"/>
        </w:rPr>
        <w:t xml:space="preserve">Sources: 61 daily HorizonScan reports covering 11 March to 10 May 2026. All 61 reports in index.json were read in full and parsed in chronological order. No reports were missing or malformed; one unindexed file (2026-03-26_old.json) was excluded because it was not listed in the index. The timeline above is constructed exclusively from these reports; no external sources were consulted.</w:t>
      </w:r>
    </w:p>
    <w:p>
      <w:pPr>
        <w:spacing w:after="80" w:before="80" w:line="300"/>
        <w:jc w:val="left"/>
      </w:pPr>
      <w:r>
        <w:rPr>
          <w:rFonts w:ascii="Arial" w:cs="Arial" w:eastAsia="Arial" w:hAnsi="Arial"/>
          <w:b w:val="false"/>
          <w:bCs w:val="false"/>
          <w:i w:val="false"/>
          <w:iCs w:val="false"/>
          <w:sz w:val="22"/>
          <w:szCs w:val="22"/>
        </w:rPr>
        <w:t xml:space="preserve">Inclusion criteria: each event meets at least one of six thresholds — kinetic on Kuwait or GCC, Strait of Hormuz / oil supply, Kuwait domestic posture change, cyber against GCC financial services, sanctions / regulatory / AML, or diplomatic inflection. Routine status carry-forwards were collapsed, and the daily "no confirmed strikes in coverage window" entries were excluded. Items flagged "[SINGLE SOURCE — unconfirmed]" in the originating report were excluded unless they were re-confirmed later in the timeline.</w:t>
      </w:r>
    </w:p>
    <w:p>
      <w:pPr>
        <w:spacing w:after="80" w:before="80" w:line="300"/>
        <w:jc w:val="left"/>
      </w:pPr>
      <w:r>
        <w:rPr>
          <w:rFonts w:ascii="Arial" w:cs="Arial" w:eastAsia="Arial" w:hAnsi="Arial"/>
          <w:b w:val="false"/>
          <w:bCs w:val="false"/>
          <w:i w:val="false"/>
          <w:iCs w:val="false"/>
          <w:sz w:val="22"/>
          <w:szCs w:val="22"/>
        </w:rPr>
        <w:t xml:space="preserve">Severity (Critical / High / Medium) is justified inline in the table. Source confidence is lifted from the section-level source_confidence field of the originating daily report. BCP actions in the right-hand column quote the language used in sections 5 and 5A of the daily reports where present; actions prefixed with "Inferred:" are not stated explicitly in the underlying reports and reflect standard banking BCP practice.</w:t>
      </w:r>
    </w:p>
    <w:sectPr>
      <w:headerReference w:type="default" r:id="rId7"/>
      <w:footerReference w:type="default" r:id="rId8"/>
      <w:pgSz w:w="23814" w:h="16838"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Iran War Escalation Timeline — Risk Manager Briefing Pack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Internal — Risk &amp; BCP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60" w:before="2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Iran War Escalation Timeline — Risk Manager Briefing Pack</dc:title>
  <dc:creator>Technology Risk Management</dc:creator>
  <dc:description>Internal briefing pack for senior management</dc:description>
  <cp:lastModifiedBy>Un-named</cp:lastModifiedBy>
  <cp:revision>1</cp:revision>
  <dcterms:created xsi:type="dcterms:W3CDTF">2026-05-11T05:44:15.105Z</dcterms:created>
  <dcterms:modified xsi:type="dcterms:W3CDTF">2026-05-11T05:44:15.109Z</dcterms:modified>
</cp:coreProperties>
</file>

<file path=docProps/custom.xml><?xml version="1.0" encoding="utf-8"?>
<Properties xmlns="http://schemas.openxmlformats.org/officeDocument/2006/custom-properties" xmlns:vt="http://schemas.openxmlformats.org/officeDocument/2006/docPropsVTypes"/>
</file>