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5E5" w:rsidRDefault="004275E5" w:rsidP="004275E5">
      <w:p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  <w:lang w:val="es-ES"/>
        </w:rPr>
      </w:pPr>
      <w:r>
        <w:rPr>
          <w:rFonts w:ascii="Calibri" w:hAnsi="Calibri"/>
          <w:color w:val="000000"/>
          <w:sz w:val="22"/>
          <w:szCs w:val="22"/>
          <w:lang w:val="es-ES"/>
        </w:rPr>
        <w:t xml:space="preserve">En este trabajo se estudiará cuánta información acerca de dos estímulos auditivos diferentes (1KHz y 8KHz) pueden codificar las neuronas de la corteza prefrontal y del área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tegmental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ventral del cerebro de la rata (4 machos adultos Long Evans), en el segundo posterior a la presentación del estímulo. Esta actividad neuronal remanente es lo que habitualmente se considera memoria de corto plazo o memoria de trabajo según el tipo de paradigma conductual utilizado [1]. </w:t>
      </w:r>
    </w:p>
    <w:p w:rsidR="004275E5" w:rsidRDefault="004275E5" w:rsidP="004275E5">
      <w:p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  <w:lang w:val="es-ES"/>
        </w:rPr>
      </w:pPr>
      <w:r>
        <w:rPr>
          <w:rFonts w:ascii="Calibri" w:hAnsi="Calibri"/>
          <w:color w:val="000000"/>
          <w:sz w:val="22"/>
          <w:szCs w:val="22"/>
          <w:lang w:val="es-ES"/>
        </w:rPr>
        <w:t xml:space="preserve">Los datos registrados provienen de la corteza prefrontal (PFC) y del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area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tegmental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ventral (VTA), con fuerte proyección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dopaminérgica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sobre la primera. Con un total de cuatro animales se realizaron 30 sesiones de registro, obteniéndose, luego de proceso de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spike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sorting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[2]  60 neuronas frontales y  más de 90 provenientes de VTA. </w:t>
      </w:r>
    </w:p>
    <w:p w:rsidR="004275E5" w:rsidRDefault="004275E5" w:rsidP="004275E5">
      <w:p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  <w:lang w:val="es-ES"/>
        </w:rPr>
      </w:pPr>
      <w:r>
        <w:rPr>
          <w:rFonts w:ascii="Calibri" w:hAnsi="Calibri"/>
          <w:color w:val="000000"/>
          <w:sz w:val="22"/>
          <w:szCs w:val="22"/>
          <w:lang w:val="es-ES"/>
        </w:rPr>
        <w:t xml:space="preserve">Los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trials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de cada sesión se dividieron de acuerdo a la respuesta que el animal tuvo que realizar y de acuerdo a si esta respuesta fue o no correcta:</w:t>
      </w:r>
    </w:p>
    <w:p w:rsidR="004275E5" w:rsidRDefault="004275E5" w:rsidP="004275E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  <w:lang w:val="es-ES"/>
        </w:rPr>
      </w:pP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GOc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>: trial GO correcto, el animal tuvo que sacar la lengua una vez (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lick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>) y recibió agua</w:t>
      </w:r>
    </w:p>
    <w:p w:rsidR="004275E5" w:rsidRDefault="004275E5" w:rsidP="004275E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  <w:lang w:val="es-ES"/>
        </w:rPr>
      </w:pP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GOi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>: trial GO incorrecto, el animal tuvo que sacar la lengua una vez (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lick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>) y no lo hizo.</w:t>
      </w:r>
    </w:p>
    <w:p w:rsidR="004275E5" w:rsidRDefault="004275E5" w:rsidP="004275E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  <w:lang w:val="es-ES"/>
        </w:rPr>
      </w:pP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NOGOc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>: trial NOGO correcto, el animal tuvo que esconder la lengua durante 1 segundo (no-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lick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>) y así lo hizo.</w:t>
      </w:r>
    </w:p>
    <w:p w:rsidR="004275E5" w:rsidRDefault="004275E5" w:rsidP="004275E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  <w:lang w:val="es-ES"/>
        </w:rPr>
      </w:pP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NOGOi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>: trial NOGO incorrecto, el animal tuvo que esconder la lengua durante 1 segundo (no-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lick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>) y sin embargo la sacó.</w:t>
      </w:r>
    </w:p>
    <w:p w:rsidR="004275E5" w:rsidRDefault="004275E5" w:rsidP="004275E5">
      <w:p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  <w:lang w:val="es-ES"/>
        </w:rPr>
      </w:pPr>
      <w:r>
        <w:rPr>
          <w:rFonts w:ascii="Calibri" w:hAnsi="Calibri"/>
          <w:color w:val="000000"/>
          <w:sz w:val="22"/>
          <w:szCs w:val="22"/>
          <w:lang w:val="es-ES"/>
        </w:rPr>
        <w:t xml:space="preserve">Como cada tipo de trial tiene unívocamente asociado un estímulo auditivo determinado, la relación estímulo-respuesta es unívoca. Por este motivo hablar de trial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GOc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en el procesamiento de datos es equivalente a hablar de un estímulo auditivo determinado, presentado durante ese trial.</w:t>
      </w:r>
    </w:p>
    <w:p w:rsidR="004275E5" w:rsidRDefault="004275E5" w:rsidP="004275E5">
      <w:p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  <w:lang w:val="es-ES"/>
        </w:rPr>
      </w:pPr>
      <w:r>
        <w:rPr>
          <w:rFonts w:ascii="Calibri" w:hAnsi="Calibri"/>
          <w:color w:val="000000"/>
          <w:sz w:val="22"/>
          <w:szCs w:val="22"/>
          <w:lang w:val="es-ES"/>
        </w:rPr>
        <w:t>Para el análisis se tomó una ventana de -3000 a +2000 ms, coincidiendo el inicio de cada trial con el inicio de la presentación del estímulo.</w:t>
      </w:r>
    </w:p>
    <w:p w:rsidR="004275E5" w:rsidRDefault="004275E5" w:rsidP="004275E5">
      <w:p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  <w:lang w:val="es-ES"/>
        </w:rPr>
      </w:pPr>
      <w:r>
        <w:rPr>
          <w:rFonts w:ascii="Calibri" w:hAnsi="Calibri"/>
          <w:color w:val="000000"/>
          <w:sz w:val="22"/>
          <w:szCs w:val="22"/>
          <w:lang w:val="es-ES"/>
        </w:rPr>
        <w:t>El objetivo perseguido consiste en mejorar uno o varios métodos existentes o crear uno nuevo, de manera de obtener la mayor cantidad de información posible de nuestro set de datos.</w:t>
      </w:r>
      <w:r>
        <w:rPr>
          <w:rFonts w:ascii="Calibri" w:hAnsi="Calibri"/>
          <w:color w:val="000000"/>
          <w:sz w:val="22"/>
          <w:szCs w:val="22"/>
          <w:lang w:val="es-ES"/>
        </w:rPr>
        <w:br/>
      </w:r>
      <w:r>
        <w:rPr>
          <w:rFonts w:ascii="Calibri" w:hAnsi="Calibri"/>
          <w:color w:val="000000"/>
          <w:sz w:val="22"/>
          <w:szCs w:val="22"/>
          <w:lang w:val="es-ES"/>
        </w:rPr>
        <w:br/>
        <w:t>Para ello, se partirá de la base de ciertas técnicas conocidas [</w:t>
      </w:r>
      <w:r>
        <w:rPr>
          <w:rFonts w:ascii="Calibri" w:hAnsi="Calibri"/>
          <w:color w:val="000000"/>
          <w:sz w:val="22"/>
          <w:szCs w:val="22"/>
          <w:lang w:val="es-ES"/>
        </w:rPr>
        <w:t>3</w:t>
      </w:r>
      <w:bookmarkStart w:id="0" w:name="_GoBack"/>
      <w:bookmarkEnd w:id="0"/>
      <w:r>
        <w:rPr>
          <w:rFonts w:ascii="Calibri" w:hAnsi="Calibri"/>
          <w:color w:val="000000"/>
          <w:sz w:val="22"/>
          <w:szCs w:val="22"/>
          <w:lang w:val="es-ES"/>
        </w:rPr>
        <w:t xml:space="preserve">] (como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Random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Decision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Forest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[4],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Decision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Tree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, Lógica </w:t>
      </w:r>
      <w:proofErr w:type="spellStart"/>
      <w:r>
        <w:rPr>
          <w:rFonts w:ascii="Calibri" w:hAnsi="Calibri"/>
          <w:color w:val="000000"/>
          <w:sz w:val="22"/>
          <w:szCs w:val="22"/>
          <w:lang w:val="es-ES"/>
        </w:rPr>
        <w:t>Fuzzy</w:t>
      </w:r>
      <w:proofErr w:type="spellEnd"/>
      <w:r>
        <w:rPr>
          <w:rFonts w:ascii="Calibri" w:hAnsi="Calibri"/>
          <w:color w:val="000000"/>
          <w:sz w:val="22"/>
          <w:szCs w:val="22"/>
          <w:lang w:val="es-ES"/>
        </w:rPr>
        <w:t xml:space="preserve"> entre otras) y sus resultados sobre nuestro set de datos para establecer procesos de mejora sobre los mismos y comparar resultados con nuevos métodos propuestos.</w:t>
      </w:r>
    </w:p>
    <w:p w:rsidR="004275E5" w:rsidRDefault="004275E5" w:rsidP="004275E5">
      <w:pPr>
        <w:tabs>
          <w:tab w:val="left" w:pos="2850"/>
        </w:tabs>
        <w:jc w:val="both"/>
        <w:rPr>
          <w:rFonts w:ascii="Calibri" w:hAnsi="Calibri"/>
          <w:color w:val="000000"/>
          <w:sz w:val="22"/>
          <w:szCs w:val="22"/>
          <w:lang w:val="es-ES"/>
        </w:rPr>
      </w:pPr>
    </w:p>
    <w:p w:rsidR="004275E5" w:rsidRPr="004275E5" w:rsidRDefault="004275E5" w:rsidP="004275E5">
      <w:pPr>
        <w:pStyle w:val="NormalWeb"/>
        <w:rPr>
          <w:rFonts w:ascii="Calibri" w:hAnsi="Calibri"/>
          <w:color w:val="000000"/>
          <w:sz w:val="20"/>
          <w:szCs w:val="22"/>
          <w:lang w:val="en-US" w:eastAsia="es-ES"/>
        </w:rPr>
      </w:pPr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[1]   </w:t>
      </w:r>
      <w:proofErr w:type="spell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Funahashi</w:t>
      </w:r>
      <w:proofErr w:type="spell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 S, Chafee MV, Goldman-</w:t>
      </w:r>
      <w:proofErr w:type="spell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Rakic</w:t>
      </w:r>
      <w:proofErr w:type="spell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 PS. Prefrontal neuronal activity in rhesus monkeys performing a delayed anti-saccade task. Nature. 1993 Oct 21</w:t>
      </w:r>
      <w:proofErr w:type="gram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;365</w:t>
      </w:r>
      <w:proofErr w:type="gram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(6448):753-6.</w:t>
      </w:r>
    </w:p>
    <w:p w:rsidR="004275E5" w:rsidRPr="004275E5" w:rsidRDefault="004275E5" w:rsidP="004275E5">
      <w:pPr>
        <w:pStyle w:val="NormalWeb"/>
        <w:rPr>
          <w:rFonts w:ascii="Calibri" w:hAnsi="Calibri"/>
          <w:color w:val="000000"/>
          <w:sz w:val="20"/>
          <w:szCs w:val="22"/>
          <w:lang w:val="en-US" w:eastAsia="es-ES"/>
        </w:rPr>
      </w:pPr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[2]   R. </w:t>
      </w:r>
      <w:proofErr w:type="spell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Quian</w:t>
      </w:r>
      <w:proofErr w:type="spell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 </w:t>
      </w:r>
      <w:proofErr w:type="spell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Quiroga</w:t>
      </w:r>
      <w:proofErr w:type="spell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, Z. </w:t>
      </w:r>
      <w:proofErr w:type="spell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Nadasdy</w:t>
      </w:r>
      <w:proofErr w:type="spell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 and Y. Ben-</w:t>
      </w:r>
      <w:proofErr w:type="spell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Shaul</w:t>
      </w:r>
      <w:proofErr w:type="spell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. Unsupervised spike sorting with wavelets and </w:t>
      </w:r>
      <w:proofErr w:type="spell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superparamagnetic</w:t>
      </w:r>
      <w:proofErr w:type="spell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 clustering. Neural Computation, 16: 1661-1687; 2004.</w:t>
      </w:r>
    </w:p>
    <w:p w:rsidR="004275E5" w:rsidRPr="004275E5" w:rsidRDefault="004275E5" w:rsidP="004275E5">
      <w:pPr>
        <w:pStyle w:val="NormalWeb"/>
        <w:rPr>
          <w:rFonts w:ascii="Calibri" w:hAnsi="Calibri"/>
          <w:color w:val="000000"/>
          <w:sz w:val="20"/>
          <w:szCs w:val="22"/>
          <w:lang w:val="en-US" w:eastAsia="es-ES"/>
        </w:rPr>
      </w:pPr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[3] </w:t>
      </w:r>
      <w:proofErr w:type="spell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Duda</w:t>
      </w:r>
      <w:proofErr w:type="spellEnd"/>
      <w:proofErr w:type="gram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  RO</w:t>
      </w:r>
      <w:proofErr w:type="gram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, Hart PE. Pattern Classification and Scene Analysis, Wiley-</w:t>
      </w:r>
      <w:proofErr w:type="spell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Interscience</w:t>
      </w:r>
      <w:proofErr w:type="spell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, New York, 1973.</w:t>
      </w:r>
    </w:p>
    <w:p w:rsidR="004275E5" w:rsidRPr="004275E5" w:rsidRDefault="004275E5" w:rsidP="004275E5">
      <w:pPr>
        <w:pStyle w:val="NormalWeb"/>
        <w:rPr>
          <w:rFonts w:ascii="Calibri" w:hAnsi="Calibri"/>
          <w:color w:val="000000"/>
          <w:sz w:val="20"/>
          <w:szCs w:val="22"/>
          <w:lang w:val="en-US" w:eastAsia="es-ES"/>
        </w:rPr>
      </w:pPr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[4] </w:t>
      </w:r>
      <w:proofErr w:type="spellStart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>Breiman</w:t>
      </w:r>
      <w:proofErr w:type="spellEnd"/>
      <w:r w:rsidRPr="004275E5">
        <w:rPr>
          <w:rFonts w:ascii="Calibri" w:hAnsi="Calibri"/>
          <w:color w:val="000000"/>
          <w:sz w:val="20"/>
          <w:szCs w:val="22"/>
          <w:lang w:val="en-US" w:eastAsia="es-ES"/>
        </w:rPr>
        <w:t xml:space="preserve"> L. Random Forests. Machine Learning 45 (1):  pp. 5–32 (2001).</w:t>
      </w:r>
    </w:p>
    <w:p w:rsidR="00EF3704" w:rsidRPr="004275E5" w:rsidRDefault="00EF3704" w:rsidP="004275E5">
      <w:pPr>
        <w:rPr>
          <w:lang w:val="en-US"/>
        </w:rPr>
      </w:pPr>
    </w:p>
    <w:sectPr w:rsidR="00EF3704" w:rsidRPr="00427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B738B"/>
    <w:multiLevelType w:val="multilevel"/>
    <w:tmpl w:val="EF6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84"/>
    <w:rsid w:val="004275E5"/>
    <w:rsid w:val="00DA1384"/>
    <w:rsid w:val="00E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B02847-2E9A-4483-B87D-9E3F921E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5E5"/>
    <w:pPr>
      <w:spacing w:before="100" w:beforeAutospacing="1" w:after="100" w:afterAutospacing="1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PZandMO</dc:creator>
  <cp:keywords/>
  <dc:description/>
  <cp:lastModifiedBy>PZandMO</cp:lastModifiedBy>
  <cp:revision>2</cp:revision>
  <dcterms:created xsi:type="dcterms:W3CDTF">2015-02-08T19:09:00Z</dcterms:created>
  <dcterms:modified xsi:type="dcterms:W3CDTF">2015-02-08T19:11:00Z</dcterms:modified>
</cp:coreProperties>
</file>