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24" w:lineRule="auto"/>
        <w:jc w:val="center"/>
      </w:pPr>
      <w:r>
        <w:rPr>
          <w:rFonts w:ascii="黑体" w:hAnsi="黑体" w:eastAsia="黑体"/>
          <w:b/>
          <w:sz w:val="36"/>
        </w:rPr>
        <w:t>反洗钱新规下支付机构的责任与挑战</w:t>
      </w:r>
    </w:p>
    <w:p>
      <w:pPr>
        <w:spacing w:after="240" w:before="0" w:line="324" w:lineRule="auto"/>
      </w:pPr>
      <w:r>
        <w:rPr>
          <w:rFonts w:ascii="楷体" w:hAnsi="楷体" w:eastAsia="楷体"/>
          <w:b w:val="0"/>
          <w:color w:val="555555"/>
          <w:sz w:val="21"/>
        </w:rPr>
        <w:t>主题编号：R-07</w:t>
        <w:br/>
        <w:t>匹配热点：支付机构加码清退睡眠账户；2026 年前三季度持牌机构罚单超 40 张、罚没超 3.5 亿元，反洗钱履职缺位成为高频事由</w:t>
        <w:br/>
        <w:t>成稿日期：2026-10-23</w:t>
        <w:br/>
        <w:t>目标读者：支付机构反洗钱合规专员、合规负责人、风控与账户管理人员</w:t>
      </w:r>
    </w:p>
    <w:p>
      <w:pPr>
        <w:spacing w:after="160" w:before="280" w:line="324" w:lineRule="auto"/>
      </w:pPr>
      <w:r>
        <w:rPr>
          <w:rFonts w:ascii="黑体" w:hAnsi="黑体" w:eastAsia="黑体"/>
          <w:b/>
          <w:sz w:val="28"/>
        </w:rPr>
        <w:t>一、这个星期最刺眼的，不是又一张罚单，而是一批「没人用」的账户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2026 年 10 月 21 日，《证券日报》把一条已经铺了大半年的动作写成了行业新闻：支付机构正在加码清退睡眠账户。网易支付从 4 月起分批清理「连续 12 个月未登录」的个人账户；美的支付 7 月清单位户、9 月清个人户，标准都是连续两年无主动收付、无资金往来、无登录；唯品支付则要求用户在 12 月 12 日前完成实名激活，逾期且无零钱的账户将被注销。财付通没有发专项清户公告，但 6 月 30 日修订、7 月 30 日生效的《QQ 钱包支付用户服务协议》，已经把持续尽职调查、客户风险分级分类和动态监测写进了合同。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睡眠账户本身并不新鲜。移动支付普及早期，用户在电商、内容、出行、本地生活各个入口各开一个钱包，用过一次就再也没登录。客户身份信息停在开户那天，联系方式失效，账户却还挂在系统里。这类「看起来没风险」的闲置簿记，一旦被冒用，机构面对的就不是客服投诉，而是反洗钱履职不到位、反诈义务落空，以及可能随之而来的监管处罚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同一周还能看到另一组数字。10 月 14 日同一家报纸梳理：2026 年前三季度，人民银行各分支机构对持牌支付机构开出罚单超过 40 张，罚没总额超过 3.5 亿元，单笔最高 7445 万元。上海瀚银因违反清算管理、商户管理规定，被没收违法所得 6592 万元、另处罚款 853 万元，相关责任人再罚 34 万元；乐刷支付、网易支付等也收到百万元级罚单。违规事由高度集中：商户管理、支付清算管理、反洗钱履职不到位。后一类的典型表述几乎可以背下来——未按经营规模和洗钱风险配备相应人员，未对高风险情形采取相应洗钱风险管理措施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这两条线叠在一起，正好对应记忆主题库 R-07：反洗钱新规下支付机构的责任与挑战。它同时咬合 D-04（存量竞争下的精细化运营）、S-08（支付欺诈攻防）和 H-06 / R-01（分类评级把反洗钱单独做成 15 分模块）。10 月 19 日至 22 日已经写过智能体授权、跨境统一网关、智能体落地和牌照出清。今天更值得写的，不是再复述一遍谁退场了，而是：账户还在、商户还在、交易还在跑的时候，反洗钱责任到底落在哪一层，机构又卡在哪一段。</w:t>
      </w:r>
    </w:p>
    <w:p>
      <w:pPr>
        <w:spacing w:after="160" w:before="280" w:line="324" w:lineRule="auto"/>
      </w:pPr>
      <w:r>
        <w:rPr>
          <w:rFonts w:ascii="黑体" w:hAnsi="黑体" w:eastAsia="黑体"/>
          <w:b/>
          <w:sz w:val="28"/>
        </w:rPr>
        <w:t>二、责任已经被写成三层，而不是「合规部的一张报表」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新修订的《中华人民共和国反洗钱法》自 2025 年 1 月 1 日起施行。对支付机构来说，它不再是「参照金融机构执行」的模糊义务，而是一套可以直接对照处罚条款的清单：建立内控、设牵头部门、按规模和风险配人、做风险评估、保存身份资料和交易记录至少十年、报告大额和可疑交易，并对高风险情形采取限制交易、限制业务类型、拒绝办理直至终止业务关系等措施。机构负责人对内控有效实施负责。客户拒不配合尽职调查的，机构可以按规定限制或终止业务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《非银行支付机构监督管理条例》把这条线嵌进了日常业务。第二十一条要求建立持续有效的用户尽职调查制度，识别核实身份、了解交易背景和风险状况；涉及资金安全、信息安全的核心业务和技术服务，不得委托第三方。第二十二条更硬：特约商户尽职调查、协议签订、持续风险监测必须由支付机构自行完成，不得为未依法设立或从事非法经营的商户提供服务。第二十三条要求储值账户运营机构建立账户开立、使用、变更、撤销和异常监测制度，防止匿名、假名账户，防范账户被用于违法犯罪。这些条款对应的罚则也不含糊：未按规定完成商户尽调、违规开立或使用支付账户，轻则警告、通报批评、没收违法所得并处罚款，重则限制业务、停业整顿直至吊销许可证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第三层是评分，不是口号。修订后的《非银行支付机构分类评级管理办法》自 2026 年 2 月 1 日起执行，七个模块里「反洗钱措施」占 15 分，和系统安全、经营稳健性并列第二档；业务规范占 25 分，其中大量内容其实就是商户真实性、交易可追溯和持续监测。自评材料还要求单独提交「反洗钱措施」部分报告。评级结果原则上不对外披露，但会直接决定检查密度和业务空间。为电信网络诈骗、跨境赌博提供支付服务，本身就是最高 15 分的减分项。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把三层叠起来看，反洗钱已经从「年末交一份报告」变成「开户、管户、管商户、管交易、管人员」的全周期责任。睡眠账户清理只是这个周期里最容易被看见的一环：它证明机构还记得，账户开出去之后，身份核验并没有结束。</w:t>
      </w:r>
    </w:p>
    <w:p>
      <w:pPr>
        <w:spacing w:after="160" w:before="280" w:line="324" w:lineRule="auto"/>
      </w:pPr>
      <w:r>
        <w:rPr>
          <w:rFonts w:ascii="黑体" w:hAnsi="黑体" w:eastAsia="黑体"/>
          <w:b/>
          <w:sz w:val="28"/>
        </w:rPr>
        <w:t>三、眼前的挑战，其实是五道同时卡住的门</w:t>
      </w:r>
    </w:p>
    <w:p>
      <w:pPr>
        <w:spacing w:after="120" w:before="120" w:line="324" w:lineRule="auto"/>
      </w:pPr>
      <w:r>
        <w:rPr>
          <w:rFonts w:ascii="黑体" w:hAnsi="黑体" w:eastAsia="黑体"/>
          <w:b/>
          <w:sz w:val="24"/>
        </w:rPr>
        <w:t>第一道门，是「开得出去、管不回来」。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2016 年银发 261 号文早就要求：开户之日起六个月无交易的支付账户，应当暂停全部业务，重新核实身份后才能恢复。十年过去，真正难的不是写进制度，而是存量太大。早期为了拉新，大量账户开在场景入口、营销活动和渠道合作里，身份信息停留在最低限度，后续再无登录、再无更新。今天清户，机构要同时做三件事：找到人、核验人、把余额退干净。找不到人，就有冒用风险；核验过严，用户投诉；余额处置不清，又踩用户权益保护。网易、美的、唯品的公告之所以都强调「有余额、有未完结业务不直接销户」，正是因为这一步走错，反洗钱做对了，消费者保护会先把自己绊倒。</w:t>
      </w:r>
    </w:p>
    <w:p>
      <w:pPr>
        <w:spacing w:after="120" w:before="120" w:line="324" w:lineRule="auto"/>
      </w:pPr>
      <w:r>
        <w:rPr>
          <w:rFonts w:ascii="黑体" w:hAnsi="黑体" w:eastAsia="黑体"/>
          <w:b/>
          <w:sz w:val="24"/>
        </w:rPr>
        <w:t>第二道门，是商户尽述被规模逻辑外包出去。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前三季度罚单里，商户管理是出现频率最高的类型之一：未按规定开展客户尽职调查，存在虚假商户、违规入网。王蓬博的判断很直接——过去部分机构「重业务拓展、轻合规管控」，把商户审核、风控监测外包，片面追求规模。条例已经把「自行完成特约商户尽调」写成禁止外包的红线，但落地仍卡在激励：地推、服务商、ISV 依然是中小收单机构铺量的主要方式。只要分润还按入网量和交易额算，虚假商户、二清通道、跳码就会反复长回来。反洗钱在商户侧的名字，就是 KYS：你到底知不知道这个店是谁、在卖什么、资金最终去哪。</w:t>
      </w:r>
    </w:p>
    <w:p>
      <w:pPr>
        <w:spacing w:after="120" w:before="120" w:line="324" w:lineRule="auto"/>
      </w:pPr>
      <w:r>
        <w:rPr>
          <w:rFonts w:ascii="黑体" w:hAnsi="黑体" w:eastAsia="黑体"/>
          <w:b/>
          <w:sz w:val="24"/>
        </w:rPr>
        <w:t>第三道门，是交易信息断链。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清算管理类处罚集中在两处：备付金存放不合规，以及交易信息没有做到真实、完整、可追溯。反洗钱最怕的不是「没系统」，而是系统里的字段被截断。付款人、收款人、商户、订单、场景一旦在通道里被抹平，可疑交易监测再聪明也是在空转。瀚银这张 7445 万元的罚单把清算和商户管理绑在一起打，等于提醒行业：分润模式如果建立在信息不完整的转接上，赚到的是违法所得，不是通道利润。</w:t>
      </w:r>
    </w:p>
    <w:p>
      <w:pPr>
        <w:spacing w:after="120" w:before="120" w:line="324" w:lineRule="auto"/>
      </w:pPr>
      <w:r>
        <w:rPr>
          <w:rFonts w:ascii="黑体" w:hAnsi="黑体" w:eastAsia="黑体"/>
          <w:b/>
          <w:sz w:val="24"/>
        </w:rPr>
        <w:t>第四道门，是人不够，也不是多招几个合规专员就够。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罚单里反复出现的表述是「未按照规定根据经营规模和洗钱风险状况配备相应人员」。新反洗钱法把「按规模和风险配人」写成法定义务，负责人还要对内控有效性负责；「机构 + 直接责任人」双罚已经常态化。这给中小机构出了一道算术题：交易规模在掉、费率在降、合规编制却必须按风险而不是按利润配。王蓬博观察到，不少中小机构的整改停在系统改造和收缩高风险通道，经营模式没有改，合规也就变不成竞争力。陈文则把另一面说清楚了：反洗钱正在从 KYC 延伸到 KYS、KYP，要了解商户，也要了解自己卖出去的产品——预付、分账、跨境、代理收款，每一种产品都有自己的洗钱形貌。</w:t>
      </w:r>
    </w:p>
    <w:p>
      <w:pPr>
        <w:spacing w:after="120" w:before="120" w:line="324" w:lineRule="auto"/>
      </w:pPr>
      <w:r>
        <w:rPr>
          <w:rFonts w:ascii="黑体" w:hAnsi="黑体" w:eastAsia="黑体"/>
          <w:b/>
          <w:sz w:val="24"/>
        </w:rPr>
        <w:t>第五道门，是新技术把旧监测标准打穿。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智能体支付、机器支付、跨境资金分层，会让「人在场、人确认」的交易假设失效。协会已经要求探索 KYA（了解你的智能体），分类评级和反洗钱法也要求持续优化可疑交易监测标准。问题是：旧规则按人类点击、验证码和确认按钮设计，智能体一旦高频、小额、跨平台代付，旧模型会先把它当成攻击；反过来，如果为了体验把限额和核验一起放开，洗钱和盗用会顺着授权缝钻进来。反洗钱专员现在要同时看两类异常：人装成机器，和机器装成人。</w:t>
      </w:r>
    </w:p>
    <w:p>
      <w:pPr>
        <w:spacing w:after="160" w:before="280" w:line="324" w:lineRule="auto"/>
      </w:pPr>
      <w:r>
        <w:rPr>
          <w:rFonts w:ascii="黑体" w:hAnsi="黑体" w:eastAsia="黑体"/>
          <w:b/>
          <w:sz w:val="28"/>
        </w:rPr>
        <w:t>四、清户只是起点，真正要建的是「活着的客户画像」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陈文把本轮账户治理定义得很准：不是一刀切销户，而是全周期客户身份管理。开户之后仍要持续核实身份、了解业务需求、评估交易风险。清理长期闲置账户、更新客户资料、实施动态监测，都是在落地存量客户管理责任。王蓬博则补了一句监管逻辑：长期闲置账户一旦被盗用，机构既可能被认定反洗钱履职不到位，也可能陷入投诉和法律纠纷。清户，是在把或有责任从账本上拿掉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落到操作上，一套经得起检查的反洗钱动作，至少要分得开「清」和「管」。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清，针对的是已经失去业务关系实质的账户：长期无登录、无主动收付、联系渠道失效。动作应当是提前告知、给激活窗口、保护余额和未完结业务、核验后赎回，而不是半夜批量销户。261 号文的「六个月无交易暂停业务」，应当成为日常阀门，而不是运动式专项。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管，针对的是还活着的账户和商户。持续尽职调查不能停在开户影像。风险分级要能随交易、场景、设备、对手方变化而调整；高风险要有与风险匹配的措施，而不是一刀切冻结——新反洗钱法写明，不得采取与风险明显不相匹配的措施，医疗、社保、公用事业等基本服务还得留口。商户侧要把尽调、签约、巡检、交易监测收回机构自己的系统，服务商可以帮忙获客，不能帮忙「证明这家店是真的」。交易侧要把付款人、收款人、商户、订单号和场景字段留完整，让清算信息和反洗钱监测说的是同一笔交易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产品侧的 KYP 被很多机构忽略。预付卡、分账、跨境收款、平台商户进件，每一种都在改变资金的可追踪性。主题库里的预付卡、跨境、直播分账方案，对反洗钱来说不是增长故事，而是风险形貌：预付资金会不会被用来洗钱，分账会不会把受益人藏起来，跨境会不会把交易背景做假。分类评级把业务规范和反洗钱拆成两个模块，就是防止机构用「我有产品创新」掩盖「我不知道钱从哪来、到哪去」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技术可以帮忙，但不能外包判断。年内已有机构用大模型做风险前置预警，这和睡眠账户清理是同一方向：把监测从事后报表前移到开户后的每一天。但模型给的是线索，采取限制、拒绝或终止业务的决定，必须留在持牌机构的权限、流程和可审计记录里。核心身份核验、商户真实性判断、可疑交易报送，条例不允许委托第三方处理。</w:t>
      </w:r>
    </w:p>
    <w:p>
      <w:pPr>
        <w:spacing w:after="160" w:before="280" w:line="324" w:lineRule="auto"/>
      </w:pPr>
      <w:r>
        <w:rPr>
          <w:rFonts w:ascii="黑体" w:hAnsi="黑体" w:eastAsia="黑体"/>
          <w:b/>
          <w:sz w:val="28"/>
        </w:rPr>
        <w:t>五、给还在牌桌上的人：责任清单比口号短，挑战清单比系统改造长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对反洗钱合规专员，眼前最该对齐的不是再写一份制度汇编，而是三张能给检查组看的清单。第一张是账户：睡眠户、不动户、高风险户分别多少，清户、激活、赎回的规则是否公告过，余额怎么处理。第二张是商户：有多少户是机构自己尽调的，有多少还停在服务商材料上，虚假商户和违规入网的排查有没有闭环。第三张是人：按当前规模和风险，牵头部门、专职人员和培训记录是否配得上罚单里那句「未按规定配备相应人员」。这三张清单对得上，分类评级的 15 分才有材料可写。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对管理层，双罚制已经把个人责任钉死了。把商户审核和风控外包、用通道规模覆盖合规投入，短期省钱，长期是给自己和分管高管准备罚单。更稳的算法是：收缩解释不清的通道，把钱投在身份持续核验、商户巡检和交易溯源上。陈文说，能穿越周期的机构，是把合规风控做成市场竞争力，而不是做成年末整改项目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对中小机构，挑战更具体。交易规模养不起一套「大行同款」的反洗钱中台，但不等于可以只做表层改造。可选的路有两条。一条是把业务收缩到自己真的「认识」的场景：认识商户、认识产品、认识资金链路，用更窄的业务换更低的剩余风险。另一条是承认某些产品——全国铺开的预付、解释不清的跨境、靠服务商批量进件的收单——自己管不住，主动停掉。管不住还继续做，分类评级和行政处罚会替你停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对普通用户，睡眠账户清理不是惊吓新闻。公告普遍留了激活窗口和余额追溯。更值得做的，是主动把长期不用的支付账户注销掉，减少被冒用的面。对商户，配合尽调、更新受益所有人和经营信息，会越来越像开立对公账户时的常规动作，而不是「支付公司又在找麻烦」。</w:t>
      </w:r>
    </w:p>
    <w:p>
      <w:pPr>
        <w:spacing w:after="160" w:before="280" w:line="324" w:lineRule="auto"/>
      </w:pPr>
      <w:r>
        <w:rPr>
          <w:rFonts w:ascii="黑体" w:hAnsi="黑体" w:eastAsia="黑体"/>
          <w:b/>
          <w:sz w:val="28"/>
        </w:rPr>
        <w:t>六、反洗钱的结论，其实只有一句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前三季度 40 多张罚单、3.5 亿元罚没，和这个月陆续见诸报端的清户公告，说的是同一件事：支付机构的反洗钱责任，已经从「开户时看一眼证件」变成「账户活着的每一天都要认识这个人、这家店、这笔钱」。新反洗钱法写了义务，条例写了禁止外包，分类评级写了分数，罚单写了价格。</w:t>
      </w:r>
    </w:p>
    <w:p>
      <w:pPr>
        <w:spacing w:after="160" w:before="0" w:line="324" w:lineRule="auto"/>
        <w:ind w:firstLine="420"/>
      </w:pPr>
      <w:r>
        <w:rPr>
          <w:rFonts w:ascii="宋体" w:hAnsi="宋体" w:eastAsia="宋体"/>
          <w:b w:val="0"/>
          <w:sz w:val="24"/>
        </w:rPr>
        <w:t>接下来还会有机构清户，也会有机构继续收到罚单。值得盯的不是公告标题换成了「长期不动户」还是「低活跃账户」，而是机构有没有把 KYC、KYS、KYP 做成同一套日常能力——以及，当账户、商户、产品三者有一个认不出来的时候，它敢不敢把这笔生意停掉。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